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09036" w14:textId="77777777" w:rsidR="00D21A72" w:rsidRPr="00D77887" w:rsidRDefault="00D21A72" w:rsidP="00744134">
      <w:pPr>
        <w:pStyle w:val="Heading2"/>
        <w:rPr>
          <w:rStyle w:val="Strong"/>
          <w:rFonts w:asciiTheme="minorHAnsi" w:hAnsiTheme="minorHAnsi" w:cstheme="minorHAnsi"/>
          <w:bCs/>
          <w:caps/>
        </w:rPr>
      </w:pPr>
      <w:r w:rsidRPr="00D77887">
        <w:rPr>
          <w:rStyle w:val="Strong"/>
          <w:rFonts w:asciiTheme="minorHAnsi" w:hAnsiTheme="minorHAnsi" w:cstheme="minorHAnsi"/>
          <w:bCs/>
          <w:caps/>
        </w:rPr>
        <w:t>DATA PROCESSING AGREEMENT</w:t>
      </w:r>
    </w:p>
    <w:p w14:paraId="76492DF9" w14:textId="77777777" w:rsidR="00D21A72" w:rsidRPr="00D77887" w:rsidRDefault="00D21A72" w:rsidP="00744134">
      <w:pPr>
        <w:pStyle w:val="Heading2"/>
      </w:pPr>
    </w:p>
    <w:p w14:paraId="707598CC" w14:textId="5F913971" w:rsidR="00D21A72" w:rsidRPr="00D77887" w:rsidRDefault="00D21A72" w:rsidP="00D77887">
      <w:r w:rsidRPr="00D77887">
        <w:rPr>
          <w:b/>
        </w:rPr>
        <w:t>THIS AGREEMENT</w:t>
      </w:r>
      <w:r w:rsidRPr="00D77887">
        <w:t xml:space="preserve"> is made </w:t>
      </w:r>
      <w:r w:rsidR="00985F98">
        <w:t>[</w:t>
      </w:r>
      <w:r w:rsidR="00985F98" w:rsidRPr="00985F98">
        <w:rPr>
          <w:highlight w:val="yellow"/>
        </w:rPr>
        <w:t>DATE</w:t>
      </w:r>
      <w:r w:rsidR="00985F98">
        <w:t>]</w:t>
      </w:r>
    </w:p>
    <w:p w14:paraId="2DCDC9EF" w14:textId="77777777" w:rsidR="00A14AD4" w:rsidRPr="00D77887" w:rsidRDefault="008B7FF6" w:rsidP="006B6062">
      <w:pPr>
        <w:pStyle w:val="Heading1"/>
      </w:pPr>
      <w:r w:rsidRPr="00D77887">
        <w:t xml:space="preserve">BETWEEN: </w:t>
      </w:r>
    </w:p>
    <w:p w14:paraId="0B731333" w14:textId="561E0131" w:rsidR="00A14AD4" w:rsidRPr="00D77887" w:rsidRDefault="008B7FF6" w:rsidP="003C1F20">
      <w:pPr>
        <w:pStyle w:val="ListParagraph"/>
        <w:numPr>
          <w:ilvl w:val="0"/>
          <w:numId w:val="9"/>
        </w:numPr>
      </w:pPr>
      <w:r w:rsidRPr="00D77887">
        <w:t>[</w:t>
      </w:r>
      <w:r w:rsidRPr="00985F98">
        <w:rPr>
          <w:highlight w:val="yellow"/>
        </w:rPr>
        <w:t xml:space="preserve">NAME </w:t>
      </w:r>
      <w:r w:rsidR="006B6062" w:rsidRPr="00985F98">
        <w:rPr>
          <w:highlight w:val="yellow"/>
        </w:rPr>
        <w:t>AND ADDRESS</w:t>
      </w:r>
      <w:r w:rsidR="00E70305">
        <w:rPr>
          <w:highlight w:val="yellow"/>
        </w:rPr>
        <w:t xml:space="preserve"> OF CLIENT</w:t>
      </w:r>
      <w:r w:rsidR="006B6062">
        <w:t xml:space="preserve">] </w:t>
      </w:r>
      <w:r w:rsidRPr="00D77887">
        <w:t xml:space="preserve"> (the “Controller”); and</w:t>
      </w:r>
      <w:r w:rsidR="006B6062">
        <w:t>,</w:t>
      </w:r>
    </w:p>
    <w:p w14:paraId="14D3A732" w14:textId="29ACEC94" w:rsidR="00A14AD4" w:rsidRPr="00D77887" w:rsidRDefault="006D100C" w:rsidP="003C1F20">
      <w:pPr>
        <w:pStyle w:val="ListParagraph"/>
        <w:numPr>
          <w:ilvl w:val="0"/>
          <w:numId w:val="9"/>
        </w:numPr>
      </w:pPr>
      <w:r>
        <w:t>HRinPractice</w:t>
      </w:r>
      <w:r w:rsidR="00D21A72" w:rsidRPr="00D77887">
        <w:t xml:space="preserve"> Ltd., Astra House, The Common, Cranleigh, Surrey, GU6 8RZ, </w:t>
      </w:r>
      <w:r w:rsidR="008B7FF6" w:rsidRPr="00D77887">
        <w:t xml:space="preserve">(the “Processor”). </w:t>
      </w:r>
    </w:p>
    <w:p w14:paraId="26B8CB90" w14:textId="37C3D3A2" w:rsidR="00A14AD4" w:rsidRPr="00D77887" w:rsidRDefault="008B7FF6" w:rsidP="007D2CD6">
      <w:pPr>
        <w:pStyle w:val="Heading1"/>
      </w:pPr>
      <w:bookmarkStart w:id="0" w:name="_Toc18469"/>
      <w:r w:rsidRPr="007D2CD6">
        <w:t>BACKGROUND</w:t>
      </w:r>
      <w:r w:rsidRPr="00D77887">
        <w:t xml:space="preserve"> </w:t>
      </w:r>
      <w:bookmarkEnd w:id="0"/>
    </w:p>
    <w:p w14:paraId="1A6610D5" w14:textId="6F9C6692" w:rsidR="00A14AD4" w:rsidRDefault="008B7FF6" w:rsidP="0055557B">
      <w:pPr>
        <w:pStyle w:val="ListParagraph"/>
        <w:numPr>
          <w:ilvl w:val="0"/>
          <w:numId w:val="8"/>
        </w:numPr>
      </w:pPr>
      <w:r w:rsidRPr="00D77887">
        <w:t xml:space="preserve">The Controller processes Personal Data in connection with its business activities; </w:t>
      </w:r>
    </w:p>
    <w:p w14:paraId="5E17F2E9" w14:textId="77777777" w:rsidR="0055557B" w:rsidRPr="00D77887" w:rsidRDefault="0055557B" w:rsidP="0055557B">
      <w:pPr>
        <w:pStyle w:val="ListParagraph"/>
        <w:ind w:firstLine="0"/>
      </w:pPr>
    </w:p>
    <w:p w14:paraId="58A073B9" w14:textId="57CEC8DB" w:rsidR="00A14AD4" w:rsidRDefault="008B7FF6" w:rsidP="0055557B">
      <w:pPr>
        <w:pStyle w:val="ListParagraph"/>
        <w:numPr>
          <w:ilvl w:val="0"/>
          <w:numId w:val="8"/>
        </w:numPr>
      </w:pPr>
      <w:r w:rsidRPr="00D77887">
        <w:t xml:space="preserve">The Processor processes Personal Data on behalf of other businesses and organisations; </w:t>
      </w:r>
    </w:p>
    <w:p w14:paraId="1942B1C0" w14:textId="77777777" w:rsidR="0055557B" w:rsidRDefault="0055557B" w:rsidP="0055557B">
      <w:pPr>
        <w:pStyle w:val="ListParagraph"/>
      </w:pPr>
    </w:p>
    <w:p w14:paraId="60E5FBA8" w14:textId="14D49A1C" w:rsidR="00985F98" w:rsidRDefault="008B7FF6" w:rsidP="00FF5FE0">
      <w:pPr>
        <w:pStyle w:val="ListParagraph"/>
        <w:numPr>
          <w:ilvl w:val="0"/>
          <w:numId w:val="8"/>
        </w:numPr>
      </w:pPr>
      <w:r w:rsidRPr="00D77887">
        <w:t>The Controller wishes to engage the services of the Processor to process personal data on its behalf</w:t>
      </w:r>
      <w:r w:rsidR="00555CF0">
        <w:t xml:space="preserve"> as defined </w:t>
      </w:r>
      <w:r w:rsidR="00B372E0">
        <w:t>in Schedule</w:t>
      </w:r>
      <w:r w:rsidR="00555CF0">
        <w:t xml:space="preserve"> 2</w:t>
      </w:r>
      <w:r w:rsidRPr="00D77887">
        <w:t xml:space="preserve">; </w:t>
      </w:r>
    </w:p>
    <w:p w14:paraId="71F43FE8" w14:textId="77777777" w:rsidR="00985F98" w:rsidRDefault="00985F98" w:rsidP="00985F98">
      <w:pPr>
        <w:pStyle w:val="ListParagraph"/>
      </w:pPr>
    </w:p>
    <w:p w14:paraId="59E928B7" w14:textId="277F7CDD" w:rsidR="00A14AD4" w:rsidRDefault="008B7FF6" w:rsidP="00FF5FE0">
      <w:pPr>
        <w:pStyle w:val="ListParagraph"/>
        <w:numPr>
          <w:ilvl w:val="0"/>
          <w:numId w:val="8"/>
        </w:numPr>
      </w:pPr>
      <w:r w:rsidRPr="00D77887">
        <w:t xml:space="preserve">Article 17(2) of the Data Protection Directive 95/46/EC provides that, where processing of personal data is carried out by a processor on behalf of a data controller the controller must choose a processor providing sufficient guarantees in respect of the technical security measures and organisational measures governing the processing to be carried out, and must ensure compliance with those measures; </w:t>
      </w:r>
    </w:p>
    <w:p w14:paraId="303C86E4" w14:textId="77777777" w:rsidR="0055557B" w:rsidRDefault="0055557B" w:rsidP="0055557B">
      <w:pPr>
        <w:pStyle w:val="ListParagraph"/>
      </w:pPr>
    </w:p>
    <w:p w14:paraId="2F4D58B4" w14:textId="77777777" w:rsidR="0055557B" w:rsidRDefault="008B7FF6" w:rsidP="005A5581">
      <w:pPr>
        <w:pStyle w:val="ListParagraph"/>
        <w:numPr>
          <w:ilvl w:val="0"/>
          <w:numId w:val="8"/>
        </w:numPr>
      </w:pPr>
      <w:r w:rsidRPr="00D77887">
        <w:t xml:space="preserve">Articles 17(3) and 17(4) of the Data Protection Directive require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 unlawful forms of processing; </w:t>
      </w:r>
    </w:p>
    <w:p w14:paraId="4550CDC7" w14:textId="77777777" w:rsidR="0055557B" w:rsidRDefault="0055557B" w:rsidP="0055557B">
      <w:pPr>
        <w:pStyle w:val="ListParagraph"/>
      </w:pPr>
    </w:p>
    <w:p w14:paraId="099B95AD" w14:textId="5AE8C7FF" w:rsidR="00A14AD4" w:rsidRPr="00D77887" w:rsidRDefault="008B7FF6" w:rsidP="005A5581">
      <w:pPr>
        <w:pStyle w:val="ListParagraph"/>
        <w:numPr>
          <w:ilvl w:val="0"/>
          <w:numId w:val="8"/>
        </w:numPr>
      </w:pPr>
      <w:r w:rsidRPr="00D77887">
        <w:t xml:space="preserve">In compliance with the above-mentioned provisions of Article 17 of the Data Protection Directive the Controller and Processor wish to enter into this processing security Agreement. </w:t>
      </w:r>
    </w:p>
    <w:p w14:paraId="47329D03" w14:textId="166FFD31" w:rsidR="00A14AD4" w:rsidRPr="00D77887" w:rsidRDefault="008B7FF6" w:rsidP="007D2CD6">
      <w:pPr>
        <w:pStyle w:val="Heading1"/>
      </w:pPr>
      <w:r w:rsidRPr="00D77887">
        <w:t xml:space="preserve"> THE PARTIES MUTUALLY AGREE AS FOLLOWS: </w:t>
      </w:r>
    </w:p>
    <w:p w14:paraId="7BBE6882" w14:textId="77777777" w:rsidR="00A14AD4" w:rsidRPr="00D77887" w:rsidRDefault="008B7FF6" w:rsidP="007D2CD6">
      <w:pPr>
        <w:pStyle w:val="Heading1"/>
      </w:pPr>
      <w:bookmarkStart w:id="1" w:name="_Toc18470"/>
      <w:r w:rsidRPr="00D77887">
        <w:t xml:space="preserve">1. </w:t>
      </w:r>
      <w:r w:rsidRPr="00D77887">
        <w:tab/>
        <w:t xml:space="preserve">DEFINITIONS AND INTERPRETATION </w:t>
      </w:r>
      <w:bookmarkEnd w:id="1"/>
      <w:r w:rsidRPr="00D77887">
        <w:t xml:space="preserve"> </w:t>
      </w:r>
    </w:p>
    <w:p w14:paraId="52BC3D0F" w14:textId="77777777" w:rsidR="00A14AD4" w:rsidRPr="00D77887" w:rsidRDefault="008B7FF6" w:rsidP="007D2CD6">
      <w:pPr>
        <w:pStyle w:val="Style1"/>
      </w:pPr>
      <w:r w:rsidRPr="00D77887">
        <w:t xml:space="preserve">1.1  </w:t>
      </w:r>
      <w:r w:rsidRPr="00D77887">
        <w:tab/>
        <w:t xml:space="preserve">In this Agreement the following words and phrases shall have the following meanings, unless inconsistent with the context or as otherwise specified: </w:t>
      </w:r>
    </w:p>
    <w:p w14:paraId="21244B47" w14:textId="0CD49EC3" w:rsidR="00A14AD4" w:rsidRPr="00D77887" w:rsidRDefault="008B7FF6" w:rsidP="00AA3D75">
      <w:pPr>
        <w:pStyle w:val="Style1"/>
        <w:ind w:firstLine="0"/>
      </w:pPr>
      <w:r w:rsidRPr="00D77887">
        <w:t>“</w:t>
      </w:r>
      <w:r w:rsidRPr="00D77887">
        <w:rPr>
          <w:b/>
        </w:rPr>
        <w:t>Data Protection Directive</w:t>
      </w:r>
      <w:r w:rsidRPr="00D77887">
        <w:t xml:space="preserve">” shall mean Directive 95/46/EC of the European Parliament and Council of 24th October 1995 on the protection of individuals with regard to the processing of personal data and on the free movement of such data; </w:t>
      </w:r>
    </w:p>
    <w:p w14:paraId="1A0DB6AD" w14:textId="1689145C" w:rsidR="00A14AD4" w:rsidRPr="00D77887" w:rsidRDefault="008B7FF6" w:rsidP="00AA3D75">
      <w:pPr>
        <w:pStyle w:val="Style1"/>
      </w:pPr>
      <w:r w:rsidRPr="00D77887">
        <w:t xml:space="preserve">  </w:t>
      </w:r>
      <w:r w:rsidRPr="00D77887">
        <w:tab/>
        <w:t>“</w:t>
      </w:r>
      <w:r w:rsidRPr="00D77887">
        <w:rPr>
          <w:b/>
        </w:rPr>
        <w:t>personal data</w:t>
      </w:r>
      <w:r w:rsidRPr="00D77887">
        <w:t xml:space="preserve">” shall mean any information relating to an identified or identifiable natural person ('data subject'); an identifiable person is one who can be identified, directly or indirectly, in particular by reference to an identification number or to one or more factors specific to his physical, physiological, mental, economic cultural or social identity; </w:t>
      </w:r>
    </w:p>
    <w:p w14:paraId="11E0C961" w14:textId="0AF086CC" w:rsidR="00A14AD4" w:rsidRPr="00D77887" w:rsidRDefault="008B7FF6" w:rsidP="003D418E">
      <w:pPr>
        <w:ind w:left="720" w:firstLine="0"/>
      </w:pPr>
      <w:r w:rsidRPr="00D77887">
        <w:lastRenderedPageBreak/>
        <w:t>“</w:t>
      </w:r>
      <w:r w:rsidRPr="00D77887">
        <w:rPr>
          <w:b/>
        </w:rPr>
        <w:t>processing of personal data</w:t>
      </w:r>
      <w:r w:rsidRPr="00D77887">
        <w:t xml:space="preserve">” shall mean any operation or set of operations which is performed upon personal data, whether or not by automatic means, such as collection, recording, organization, storage, adaptation or alternation, retrieval, consultation, use, disclosure by transmission, dissemination or otherwise making available, alignment or combination, blocking, erasure or destruction; </w:t>
      </w:r>
    </w:p>
    <w:p w14:paraId="757008C9" w14:textId="296CA41A" w:rsidR="00A14AD4" w:rsidRPr="00D77887" w:rsidRDefault="008B7FF6" w:rsidP="00985F98">
      <w:pPr>
        <w:pStyle w:val="Style1"/>
        <w:ind w:firstLine="0"/>
      </w:pPr>
      <w:r w:rsidRPr="00D77887">
        <w:t>“</w:t>
      </w:r>
      <w:r w:rsidRPr="00D77887">
        <w:rPr>
          <w:b/>
        </w:rPr>
        <w:t>sub-contract</w:t>
      </w:r>
      <w:r w:rsidRPr="00D77887">
        <w:t>” and “</w:t>
      </w:r>
      <w:r w:rsidRPr="00D77887">
        <w:rPr>
          <w:b/>
        </w:rPr>
        <w:t>sub-contracting</w:t>
      </w:r>
      <w:r w:rsidRPr="00D77887">
        <w:t>” shall mean the process by which either party arranges for a third party to carry out its obligations under this Agreement and “Sub Contractor” shall mean the party to whom the obligations are subcontracted; and</w:t>
      </w:r>
      <w:r w:rsidR="00F0745B">
        <w:t>,</w:t>
      </w:r>
    </w:p>
    <w:p w14:paraId="41B0F90B" w14:textId="7DE49FCE" w:rsidR="00A14AD4" w:rsidRPr="00D77887" w:rsidRDefault="008B7FF6" w:rsidP="00985F98">
      <w:pPr>
        <w:pStyle w:val="Style1"/>
        <w:ind w:firstLine="0"/>
      </w:pPr>
      <w:r w:rsidRPr="00D77887">
        <w:t>“</w:t>
      </w:r>
      <w:r w:rsidRPr="00D77887">
        <w:rPr>
          <w:b/>
        </w:rPr>
        <w:t>Technical and organisational security measures</w:t>
      </w:r>
      <w:r w:rsidRPr="00D77887">
        <w:t xml:space="preserve">” shall mean measures to protect personal data against accidental or unlawful destruction or accidental loss, alternation, unauthorised disclosure or access and against all other unlawful forms of processing. </w:t>
      </w:r>
    </w:p>
    <w:p w14:paraId="17CEB608" w14:textId="68F20BF1" w:rsidR="00A14AD4" w:rsidRPr="00D77887" w:rsidRDefault="008B7FF6" w:rsidP="007D2CD6">
      <w:pPr>
        <w:pStyle w:val="Heading1"/>
      </w:pPr>
      <w:r w:rsidRPr="00D77887">
        <w:t xml:space="preserve"> </w:t>
      </w:r>
      <w:bookmarkStart w:id="2" w:name="_Toc18471"/>
      <w:r w:rsidRPr="00D77887">
        <w:t xml:space="preserve">2. </w:t>
      </w:r>
      <w:r w:rsidRPr="00D77887">
        <w:tab/>
        <w:t xml:space="preserve">CONSIDERATION </w:t>
      </w:r>
      <w:bookmarkEnd w:id="2"/>
    </w:p>
    <w:p w14:paraId="17B1CCDF" w14:textId="25744E65" w:rsidR="00A14AD4" w:rsidRPr="00D77887" w:rsidRDefault="008B7FF6" w:rsidP="00985F98">
      <w:pPr>
        <w:pStyle w:val="Style1"/>
      </w:pPr>
      <w:r w:rsidRPr="00985F98">
        <w:t xml:space="preserve"> 2.1</w:t>
      </w:r>
      <w:r w:rsidRPr="00D77887">
        <w:rPr>
          <w:b/>
        </w:rPr>
        <w:t xml:space="preserve"> </w:t>
      </w:r>
      <w:r w:rsidRPr="00D77887">
        <w:rPr>
          <w:b/>
        </w:rPr>
        <w:tab/>
      </w:r>
      <w:r w:rsidRPr="00D77887">
        <w:t xml:space="preserve">In consideration of the Controller engaging the services of the processor to process personal data on its behalf the Processor shall comply with the security, confidentiality and other obligations imposed on it under this Agreement. </w:t>
      </w:r>
    </w:p>
    <w:p w14:paraId="65951E90" w14:textId="427A39AC" w:rsidR="00A14AD4" w:rsidRPr="00D77887" w:rsidRDefault="008B7FF6" w:rsidP="007D2CD6">
      <w:pPr>
        <w:pStyle w:val="Heading1"/>
      </w:pPr>
      <w:r w:rsidRPr="00D77887">
        <w:t xml:space="preserve"> </w:t>
      </w:r>
      <w:bookmarkStart w:id="3" w:name="_Toc18472"/>
      <w:r w:rsidRPr="00D77887">
        <w:t xml:space="preserve">3.  </w:t>
      </w:r>
      <w:r w:rsidRPr="00D77887">
        <w:tab/>
        <w:t xml:space="preserve">SECURITY OBLIGATIONS OF THE PROCESSOR </w:t>
      </w:r>
      <w:bookmarkEnd w:id="3"/>
    </w:p>
    <w:p w14:paraId="515948DA" w14:textId="024249C7" w:rsidR="00A14AD4" w:rsidRPr="00D77887" w:rsidRDefault="008B7FF6" w:rsidP="007D2CD6">
      <w:pPr>
        <w:pStyle w:val="Style1"/>
      </w:pPr>
      <w:r w:rsidRPr="007D2CD6">
        <w:t xml:space="preserve"> 3.1  </w:t>
      </w:r>
      <w:r w:rsidRPr="007D2CD6">
        <w:tab/>
      </w:r>
      <w:r w:rsidRPr="00D77887">
        <w:t xml:space="preserve">The Processor shall only carry out those actions in respect of the personal data processed on behalf of the Controller as are expressly authorised by the Controller.  </w:t>
      </w:r>
    </w:p>
    <w:p w14:paraId="3F1DF25A" w14:textId="12251604" w:rsidR="00A14AD4" w:rsidRPr="00D77887" w:rsidRDefault="008B7FF6" w:rsidP="007D2CD6">
      <w:pPr>
        <w:pStyle w:val="Style1"/>
      </w:pPr>
      <w:r w:rsidRPr="00D77887">
        <w:t xml:space="preserve"> </w:t>
      </w:r>
      <w:r w:rsidRPr="007D2CD6">
        <w:t>3.2</w:t>
      </w:r>
      <w:r w:rsidRPr="00D77887">
        <w:rPr>
          <w:b/>
        </w:rPr>
        <w:t xml:space="preserve">  </w:t>
      </w:r>
      <w:r w:rsidRPr="00D77887">
        <w:rPr>
          <w:b/>
        </w:rPr>
        <w:tab/>
      </w:r>
      <w:r w:rsidRPr="00D77887">
        <w:t xml:space="preserve">The Processor shall take such Technical and Organisational Security Measures as are required to protect personal data processed by the Processor on behalf of the Controller against unlawful forms of processing. </w:t>
      </w:r>
      <w:r w:rsidR="00DF4F2D">
        <w:t xml:space="preserve"> </w:t>
      </w:r>
      <w:r w:rsidRPr="00D77887">
        <w:t xml:space="preserve">Such Technical and Organisational measures shall include, as a minimum standard of protection, compliance with the legal and practical security requirements set out in </w:t>
      </w:r>
      <w:r w:rsidR="00DF4F2D">
        <w:t>Schedule</w:t>
      </w:r>
      <w:r w:rsidRPr="00D77887">
        <w:t xml:space="preserve"> 1 of this Agreement. </w:t>
      </w:r>
    </w:p>
    <w:p w14:paraId="16D1405B" w14:textId="2A8627D4" w:rsidR="00A14AD4" w:rsidRPr="00D77887" w:rsidRDefault="008B7FF6" w:rsidP="007D2CD6">
      <w:pPr>
        <w:pStyle w:val="Heading1"/>
      </w:pPr>
      <w:r w:rsidRPr="00D77887">
        <w:t xml:space="preserve"> </w:t>
      </w:r>
      <w:bookmarkStart w:id="4" w:name="_Toc18473"/>
      <w:r w:rsidRPr="00D77887">
        <w:t xml:space="preserve">4. </w:t>
      </w:r>
      <w:r w:rsidRPr="00D77887">
        <w:tab/>
        <w:t xml:space="preserve">CONFIDENTIALITY  </w:t>
      </w:r>
      <w:bookmarkEnd w:id="4"/>
    </w:p>
    <w:p w14:paraId="03DC4D9E" w14:textId="793A6943" w:rsidR="00A14AD4" w:rsidRPr="00D77887" w:rsidRDefault="008B7FF6" w:rsidP="007D2CD6">
      <w:pPr>
        <w:pStyle w:val="Style1"/>
      </w:pPr>
      <w:r w:rsidRPr="00D77887">
        <w:t xml:space="preserve"> </w:t>
      </w:r>
      <w:r w:rsidRPr="007D2CD6">
        <w:t xml:space="preserve">4.1  </w:t>
      </w:r>
      <w:r w:rsidRPr="007D2CD6">
        <w:tab/>
      </w:r>
      <w:r w:rsidRPr="00D77887">
        <w:t xml:space="preserve">The Processor agrees that it shall maintain the personal data processed by the Processor on behalf of the Controller in confidence. </w:t>
      </w:r>
      <w:r w:rsidR="00CD1727">
        <w:t xml:space="preserve"> </w:t>
      </w:r>
      <w:r w:rsidRPr="00D77887">
        <w:t xml:space="preserve">In particular, the Processor agrees that, save with the prior written consent of the Controller, it shall not disclose any personal data supplied to the Processor by, for, or on behalf of, the Controller to any third party. </w:t>
      </w:r>
    </w:p>
    <w:p w14:paraId="7C79C36D" w14:textId="594325FC" w:rsidR="00A14AD4" w:rsidRPr="007D2CD6" w:rsidRDefault="008B7FF6" w:rsidP="007D2CD6">
      <w:pPr>
        <w:pStyle w:val="Style1"/>
      </w:pPr>
      <w:r w:rsidRPr="00D77887">
        <w:t xml:space="preserve"> </w:t>
      </w:r>
      <w:r w:rsidRPr="007D2CD6">
        <w:t xml:space="preserve">4.2  </w:t>
      </w:r>
      <w:r w:rsidRPr="007D2CD6">
        <w:tab/>
        <w:t xml:space="preserve">The Processor shall not make any use of any personal data supplied to it by the Controller otherwise than in connection with the provision of services to the Controller. </w:t>
      </w:r>
    </w:p>
    <w:p w14:paraId="69CC6B34" w14:textId="00E2368A" w:rsidR="00A14AD4" w:rsidRPr="007D2CD6" w:rsidRDefault="008B7FF6" w:rsidP="007D2CD6">
      <w:pPr>
        <w:pStyle w:val="Style1"/>
      </w:pPr>
      <w:r w:rsidRPr="007D2CD6">
        <w:t xml:space="preserve"> 4.3  </w:t>
      </w:r>
      <w:r w:rsidRPr="007D2CD6">
        <w:tab/>
        <w:t xml:space="preserve">The obligations in clauses 4.1 and 4.2 above shall continue for a period of five years after the cessation of the provision of services by the Processor to the Controller. </w:t>
      </w:r>
    </w:p>
    <w:p w14:paraId="58A11381" w14:textId="640D7384" w:rsidR="00A14AD4" w:rsidRPr="00D77887" w:rsidRDefault="008B7FF6" w:rsidP="007D2CD6">
      <w:pPr>
        <w:pStyle w:val="Style1"/>
      </w:pPr>
      <w:r w:rsidRPr="007D2CD6">
        <w:t xml:space="preserve"> 4.4  </w:t>
      </w:r>
      <w:r w:rsidRPr="007D2CD6">
        <w:tab/>
        <w:t>Nothing in this agreement shall prevent either party from complying with any legal  obligation imposed by a regulator or court. Both parties</w:t>
      </w:r>
      <w:r w:rsidRPr="00D77887">
        <w:t xml:space="preserve"> shall however, where possible, discuss together the appropriate response to any request from a regulator or court for disclosure of information. </w:t>
      </w:r>
    </w:p>
    <w:p w14:paraId="6A9312EA" w14:textId="7D10A0C8" w:rsidR="00A14AD4" w:rsidRPr="00D77887" w:rsidRDefault="008B7FF6" w:rsidP="007D2CD6">
      <w:pPr>
        <w:pStyle w:val="Heading1"/>
      </w:pPr>
      <w:r w:rsidRPr="00D77887">
        <w:t xml:space="preserve"> </w:t>
      </w:r>
      <w:bookmarkStart w:id="5" w:name="_Toc18474"/>
      <w:r w:rsidRPr="00D77887">
        <w:t xml:space="preserve">5. </w:t>
      </w:r>
      <w:r w:rsidRPr="00D77887">
        <w:tab/>
        <w:t xml:space="preserve">SUB-CONTRACTING </w:t>
      </w:r>
      <w:bookmarkEnd w:id="5"/>
    </w:p>
    <w:p w14:paraId="4BFFAD5E" w14:textId="50235C23" w:rsidR="00A14AD4" w:rsidRPr="00D77887" w:rsidRDefault="008B7FF6" w:rsidP="007D2CD6">
      <w:pPr>
        <w:pStyle w:val="Style1"/>
      </w:pPr>
      <w:r w:rsidRPr="00D77887">
        <w:t xml:space="preserve"> </w:t>
      </w:r>
      <w:r w:rsidRPr="00D77887">
        <w:rPr>
          <w:b/>
        </w:rPr>
        <w:t>5.</w:t>
      </w:r>
      <w:r w:rsidRPr="00253CAE">
        <w:t xml:space="preserve">1 </w:t>
      </w:r>
      <w:r w:rsidRPr="00D77887">
        <w:rPr>
          <w:b/>
        </w:rPr>
        <w:tab/>
      </w:r>
      <w:r w:rsidRPr="00D77887">
        <w:t xml:space="preserve">The Processor </w:t>
      </w:r>
      <w:r w:rsidR="00AA3720">
        <w:t>may</w:t>
      </w:r>
      <w:r w:rsidRPr="00D77887">
        <w:t xml:space="preserve"> sub-contract its rights or obligations under this Agreement without </w:t>
      </w:r>
      <w:r w:rsidR="00AA3720">
        <w:t xml:space="preserve">the separate </w:t>
      </w:r>
      <w:r w:rsidRPr="00D77887">
        <w:t xml:space="preserve">prior written consent of the Controller. </w:t>
      </w:r>
    </w:p>
    <w:p w14:paraId="77CA629A" w14:textId="0B548A16" w:rsidR="00A14AD4" w:rsidRPr="00D77887" w:rsidRDefault="008B7FF6" w:rsidP="007D2CD6">
      <w:pPr>
        <w:pStyle w:val="Style1"/>
      </w:pPr>
      <w:r w:rsidRPr="00D77887">
        <w:t xml:space="preserve"> </w:t>
      </w:r>
      <w:r w:rsidRPr="00D77887">
        <w:rPr>
          <w:b/>
        </w:rPr>
        <w:t xml:space="preserve">5.2  </w:t>
      </w:r>
      <w:r w:rsidRPr="00D77887">
        <w:rPr>
          <w:b/>
        </w:rPr>
        <w:tab/>
      </w:r>
      <w:r w:rsidRPr="00D77887">
        <w:t xml:space="preserve">Where the Processor, with the consent of the Controller, sub-contracts its obligations under this agreement it shall do so only by way of a written agreement with the Sub-Contractor </w:t>
      </w:r>
      <w:r w:rsidRPr="00D77887">
        <w:lastRenderedPageBreak/>
        <w:t xml:space="preserve">which imposes the same obligations in relation to the security of the processing on the Sub-Contractor as are imposed on the Processor under this Agreement. </w:t>
      </w:r>
    </w:p>
    <w:p w14:paraId="6613B43F" w14:textId="002839EB" w:rsidR="00A14AD4" w:rsidRPr="00D77887" w:rsidRDefault="008B7FF6" w:rsidP="00985F98">
      <w:pPr>
        <w:ind w:left="720" w:hanging="675"/>
      </w:pPr>
      <w:r w:rsidRPr="00D77887">
        <w:rPr>
          <w:b/>
        </w:rPr>
        <w:t>5.3</w:t>
      </w:r>
      <w:r w:rsidRPr="00D77887">
        <w:t xml:space="preserve">  </w:t>
      </w:r>
      <w:r w:rsidRPr="00D77887">
        <w:tab/>
        <w:t xml:space="preserve">For the avoidance of doubt, where the Sub-Contractor fails to fulfil its obligations under any </w:t>
      </w:r>
      <w:r w:rsidR="007D2CD6" w:rsidRPr="00D77887">
        <w:t>sub processing</w:t>
      </w:r>
      <w:r w:rsidRPr="00D77887">
        <w:t xml:space="preserve"> agreement, the Processor shall remain fully liable to the Controller for the fulfilment of its obligations under this Agreement </w:t>
      </w:r>
    </w:p>
    <w:p w14:paraId="3FE4785F" w14:textId="747A7F6C" w:rsidR="00A14AD4" w:rsidRPr="00D77887" w:rsidRDefault="008B7FF6" w:rsidP="007D2CD6">
      <w:pPr>
        <w:pStyle w:val="Heading1"/>
      </w:pPr>
      <w:r w:rsidRPr="00D77887">
        <w:t xml:space="preserve"> </w:t>
      </w:r>
      <w:bookmarkStart w:id="6" w:name="_Toc18475"/>
      <w:r w:rsidRPr="00D77887">
        <w:t xml:space="preserve">6.  </w:t>
      </w:r>
      <w:r w:rsidRPr="00D77887">
        <w:tab/>
        <w:t xml:space="preserve">TERM AND TERMINATION </w:t>
      </w:r>
      <w:bookmarkEnd w:id="6"/>
    </w:p>
    <w:p w14:paraId="5615FC8D" w14:textId="415B8C30" w:rsidR="00A14AD4" w:rsidRPr="00D77887" w:rsidRDefault="008B7FF6" w:rsidP="007D2CD6">
      <w:pPr>
        <w:pStyle w:val="Style1"/>
      </w:pPr>
      <w:r w:rsidRPr="00D77887">
        <w:t xml:space="preserve"> </w:t>
      </w:r>
      <w:r w:rsidRPr="00D77887">
        <w:rPr>
          <w:b/>
        </w:rPr>
        <w:t xml:space="preserve">6.1 </w:t>
      </w:r>
      <w:r w:rsidRPr="00D77887">
        <w:rPr>
          <w:b/>
        </w:rPr>
        <w:tab/>
      </w:r>
      <w:r w:rsidRPr="00D77887">
        <w:t xml:space="preserve">This Agreement shall continue in full force and effect for so long as the Processor is processing personal data on behalf of the Controller.  </w:t>
      </w:r>
    </w:p>
    <w:p w14:paraId="58685D71" w14:textId="08629B1A" w:rsidR="00A14AD4" w:rsidRPr="00D77887" w:rsidRDefault="008B7FF6" w:rsidP="007D2CD6">
      <w:pPr>
        <w:pStyle w:val="Style1"/>
      </w:pPr>
      <w:r w:rsidRPr="00D77887">
        <w:t xml:space="preserve"> </w:t>
      </w:r>
      <w:r w:rsidRPr="00D77887">
        <w:rPr>
          <w:b/>
        </w:rPr>
        <w:t xml:space="preserve">6.2 </w:t>
      </w:r>
      <w:r w:rsidRPr="00D77887">
        <w:rPr>
          <w:b/>
        </w:rPr>
        <w:tab/>
      </w:r>
      <w:r w:rsidRPr="00D77887">
        <w:t xml:space="preserve">Within </w:t>
      </w:r>
      <w:r w:rsidR="00AD48E3">
        <w:t>30</w:t>
      </w:r>
      <w:r w:rsidRPr="00D77887">
        <w:t xml:space="preserve"> days following termination of this Agreement the Processor shall, at the direction of the Controller, (a) comply with any other agreement made between the parties concerning the return or destruction of data, or (b) return all personal data passed to the Processor by the Controller for processing, or (c) on receipt of instructions from the Controller, destroy all such data unless prohibited from doing so by any applicable law. </w:t>
      </w:r>
    </w:p>
    <w:p w14:paraId="392296D2" w14:textId="2DE4266B" w:rsidR="00A14AD4" w:rsidRPr="00D77887" w:rsidRDefault="008B7FF6" w:rsidP="007D2CD6">
      <w:pPr>
        <w:pStyle w:val="Heading1"/>
      </w:pPr>
      <w:r w:rsidRPr="00D77887">
        <w:t xml:space="preserve"> </w:t>
      </w:r>
      <w:bookmarkStart w:id="7" w:name="_Toc18476"/>
      <w:r w:rsidRPr="00D77887">
        <w:t xml:space="preserve">7. </w:t>
      </w:r>
      <w:r w:rsidRPr="00D77887">
        <w:tab/>
        <w:t xml:space="preserve">GOVERNING LAW </w:t>
      </w:r>
      <w:bookmarkEnd w:id="7"/>
    </w:p>
    <w:p w14:paraId="5D8AF02B" w14:textId="05F7AD51" w:rsidR="00A14AD4" w:rsidRPr="00D77887" w:rsidRDefault="008B7FF6" w:rsidP="007D2CD6">
      <w:pPr>
        <w:pStyle w:val="Style1"/>
      </w:pPr>
      <w:r w:rsidRPr="00D77887">
        <w:t xml:space="preserve"> </w:t>
      </w:r>
      <w:r w:rsidRPr="00D77887">
        <w:rPr>
          <w:b/>
        </w:rPr>
        <w:t xml:space="preserve">7.1 </w:t>
      </w:r>
      <w:r w:rsidRPr="00D77887">
        <w:rPr>
          <w:b/>
        </w:rPr>
        <w:tab/>
      </w:r>
      <w:r w:rsidRPr="00D77887">
        <w:t>This Agreement shall be governed by and construed in accordance with the law</w:t>
      </w:r>
      <w:r w:rsidR="00A444F7">
        <w:t xml:space="preserve">s </w:t>
      </w:r>
      <w:r w:rsidRPr="00D77887">
        <w:t xml:space="preserve">of </w:t>
      </w:r>
      <w:r w:rsidR="00A444F7">
        <w:t>England and Wales</w:t>
      </w:r>
      <w:r w:rsidR="004E3B99">
        <w:t>.</w:t>
      </w:r>
    </w:p>
    <w:p w14:paraId="7198A17D" w14:textId="1B482D90" w:rsidR="00A14AD4" w:rsidRPr="00D77887" w:rsidRDefault="008B7FF6" w:rsidP="00D77887">
      <w:r w:rsidRPr="00D77887">
        <w:t xml:space="preserve"> </w:t>
      </w:r>
      <w:r w:rsidRPr="00D77887">
        <w:rPr>
          <w:b/>
        </w:rPr>
        <w:t xml:space="preserve">AS WITNESS </w:t>
      </w:r>
      <w:r w:rsidRPr="00D77887">
        <w:t xml:space="preserve">this Agreement has been signed on behalf of each of the parties by its duly authorised representative on the day and year first above written. </w:t>
      </w:r>
    </w:p>
    <w:p w14:paraId="411051A8" w14:textId="3B6BFF3B" w:rsidR="00A14AD4" w:rsidRPr="00D77887" w:rsidRDefault="008B7FF6" w:rsidP="00D77887">
      <w:r w:rsidRPr="00D77887">
        <w:t xml:space="preserve"> SIGNED on behalf of</w:t>
      </w:r>
      <w:r w:rsidR="00E70305">
        <w:t xml:space="preserve"> [</w:t>
      </w:r>
      <w:r w:rsidR="00E70305" w:rsidRPr="00985F98">
        <w:rPr>
          <w:highlight w:val="yellow"/>
        </w:rPr>
        <w:t>NAME AND ADDRESS</w:t>
      </w:r>
      <w:r w:rsidR="00E70305">
        <w:rPr>
          <w:highlight w:val="yellow"/>
        </w:rPr>
        <w:t xml:space="preserve"> OF CLIENT</w:t>
      </w:r>
      <w:r w:rsidRPr="00D77887">
        <w:t xml:space="preserve">] </w:t>
      </w:r>
    </w:p>
    <w:p w14:paraId="2A196AF5" w14:textId="650C8056" w:rsidR="00A14AD4" w:rsidRPr="00D77887" w:rsidRDefault="008B7FF6" w:rsidP="00D77887">
      <w:r w:rsidRPr="00D77887">
        <w:t xml:space="preserve"> </w:t>
      </w:r>
      <w:r w:rsidR="00985F98">
        <w:t>………………………………………………………</w:t>
      </w:r>
    </w:p>
    <w:p w14:paraId="2C28F313" w14:textId="77777777" w:rsidR="00A14AD4" w:rsidRPr="00D77887" w:rsidRDefault="008B7FF6" w:rsidP="00D77887">
      <w:r w:rsidRPr="00D77887">
        <w:t xml:space="preserve">(Authorised signatory) </w:t>
      </w:r>
    </w:p>
    <w:p w14:paraId="77866ED3" w14:textId="052362FC" w:rsidR="00A14AD4" w:rsidRPr="00D77887" w:rsidRDefault="008B7FF6" w:rsidP="00D77887">
      <w:r w:rsidRPr="00D77887">
        <w:t xml:space="preserve"> </w:t>
      </w:r>
      <w:r w:rsidR="00685CAD" w:rsidRPr="00685CAD">
        <w:rPr>
          <w:highlight w:val="yellow"/>
        </w:rPr>
        <w:t xml:space="preserve">[Name and </w:t>
      </w:r>
      <w:r w:rsidRPr="00685CAD">
        <w:rPr>
          <w:highlight w:val="yellow"/>
        </w:rPr>
        <w:t>title</w:t>
      </w:r>
      <w:r w:rsidR="00685CAD" w:rsidRPr="00685CAD">
        <w:rPr>
          <w:highlight w:val="yellow"/>
        </w:rPr>
        <w:t>]</w:t>
      </w:r>
    </w:p>
    <w:p w14:paraId="6B01FDB8" w14:textId="30F62908" w:rsidR="00A14AD4" w:rsidRPr="00D77887" w:rsidRDefault="008B7FF6" w:rsidP="00D77887">
      <w:r w:rsidRPr="00D77887">
        <w:t xml:space="preserve"> SIGNED on behalf of </w:t>
      </w:r>
      <w:r w:rsidR="006D100C">
        <w:t>HRinPractice</w:t>
      </w:r>
      <w:r w:rsidR="00C9204E">
        <w:t>.</w:t>
      </w:r>
      <w:r w:rsidR="00685CAD">
        <w:t xml:space="preserve"> </w:t>
      </w:r>
      <w:r w:rsidR="00C9204E">
        <w:t>L</w:t>
      </w:r>
      <w:r w:rsidR="00685CAD">
        <w:t>t</w:t>
      </w:r>
      <w:r w:rsidR="00C9204E">
        <w:t>d.</w:t>
      </w:r>
      <w:r w:rsidRPr="00D77887">
        <w:t xml:space="preserve"> </w:t>
      </w:r>
      <w:bookmarkStart w:id="8" w:name="_GoBack"/>
      <w:bookmarkEnd w:id="8"/>
    </w:p>
    <w:p w14:paraId="466F639F" w14:textId="42BF4C1B" w:rsidR="00A14AD4" w:rsidRPr="00D77887" w:rsidRDefault="00985F98" w:rsidP="00D77887">
      <w:r>
        <w:t>………………………………………………………</w:t>
      </w:r>
    </w:p>
    <w:p w14:paraId="58404F9F" w14:textId="210A2A59" w:rsidR="00A14AD4" w:rsidRPr="00D77887" w:rsidRDefault="00685CAD" w:rsidP="00D77887">
      <w:r>
        <w:t>Martin Evans, Director</w:t>
      </w:r>
      <w:r w:rsidR="008B7FF6" w:rsidRPr="00D77887">
        <w:t xml:space="preserve"> </w:t>
      </w:r>
    </w:p>
    <w:p w14:paraId="76EF3FEF" w14:textId="77777777" w:rsidR="003C1F20" w:rsidRDefault="003C1F20">
      <w:pPr>
        <w:spacing w:after="160" w:line="259" w:lineRule="auto"/>
        <w:ind w:left="0" w:firstLine="0"/>
      </w:pPr>
      <w:bookmarkStart w:id="9" w:name="_Toc18477"/>
      <w:r>
        <w:br w:type="page"/>
      </w:r>
    </w:p>
    <w:p w14:paraId="13B8C0BA" w14:textId="77777777" w:rsidR="007C4FCA" w:rsidRPr="00A21472" w:rsidRDefault="007C4FCA" w:rsidP="007C4FCA">
      <w:pPr>
        <w:pStyle w:val="Heading1"/>
      </w:pPr>
      <w:r w:rsidRPr="00A21472">
        <w:lastRenderedPageBreak/>
        <w:t>SCHEDULE 1</w:t>
      </w:r>
    </w:p>
    <w:p w14:paraId="3DDF1173" w14:textId="77777777" w:rsidR="00C05E81" w:rsidRDefault="00C05E81" w:rsidP="00C05E81">
      <w:pPr>
        <w:pStyle w:val="Heading1"/>
      </w:pPr>
      <w:r>
        <w:t>Technical and Organisational Data Protection Measures</w:t>
      </w:r>
    </w:p>
    <w:p w14:paraId="5F741279" w14:textId="2F04E09C" w:rsidR="00C05E81" w:rsidRPr="00925D99" w:rsidRDefault="00C05E81" w:rsidP="0053069F">
      <w:r w:rsidRPr="00925D99">
        <w:t xml:space="preserve">The following are the technical and organisational data protection measures referred to in Clause </w:t>
      </w:r>
      <w:r w:rsidR="00253CAE" w:rsidRPr="00925D99">
        <w:t>3</w:t>
      </w:r>
      <w:r w:rsidRPr="00925D99">
        <w:t>:</w:t>
      </w:r>
    </w:p>
    <w:p w14:paraId="47136A49" w14:textId="77777777" w:rsidR="00B3376B" w:rsidRPr="00B3376B" w:rsidRDefault="00B3376B" w:rsidP="00B3376B">
      <w:pPr>
        <w:pStyle w:val="Style1"/>
        <w:keepNext/>
        <w:keepLines/>
        <w:numPr>
          <w:ilvl w:val="0"/>
          <w:numId w:val="31"/>
        </w:numPr>
        <w:overflowPunct w:val="0"/>
        <w:autoSpaceDE w:val="0"/>
        <w:autoSpaceDN w:val="0"/>
        <w:adjustRightInd w:val="0"/>
        <w:spacing w:before="120" w:after="120" w:line="240" w:lineRule="auto"/>
        <w:jc w:val="both"/>
        <w:textAlignment w:val="baseline"/>
      </w:pPr>
      <w:r w:rsidRPr="00B3376B">
        <w:t>The Data Processor shall ensure that, in respect of all Personal Data it receives from or processes on behalf of the Data Controller, it maintains security measures to a standard appropriate to:</w:t>
      </w:r>
    </w:p>
    <w:p w14:paraId="4EE14324"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the harm that might result from unlawful or unauthorised processing or accidental loss, damage, or destruction of the Personal Data; and</w:t>
      </w:r>
    </w:p>
    <w:p w14:paraId="32D9A700"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the nature of the Personal Data.</w:t>
      </w:r>
    </w:p>
    <w:p w14:paraId="0E651076" w14:textId="77777777" w:rsidR="00B3376B" w:rsidRPr="0019225A" w:rsidRDefault="00B3376B" w:rsidP="00B3376B">
      <w:pPr>
        <w:pStyle w:val="Style1NB"/>
        <w:numPr>
          <w:ilvl w:val="0"/>
          <w:numId w:val="30"/>
        </w:numPr>
        <w:rPr>
          <w:rFonts w:asciiTheme="minorHAnsi" w:hAnsiTheme="minorHAnsi" w:cstheme="minorHAnsi"/>
        </w:rPr>
      </w:pPr>
      <w:r w:rsidRPr="0019225A">
        <w:rPr>
          <w:rFonts w:asciiTheme="minorHAnsi" w:hAnsiTheme="minorHAnsi" w:cstheme="minorHAnsi"/>
        </w:rPr>
        <w:t>In particular, the Data Processor shall:</w:t>
      </w:r>
    </w:p>
    <w:p w14:paraId="56352F6B"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have in place, and comply with, a security policy which:</w:t>
      </w:r>
    </w:p>
    <w:p w14:paraId="516910AF" w14:textId="77777777"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defines security needs based on a risk assessment;</w:t>
      </w:r>
    </w:p>
    <w:p w14:paraId="46B1EA3B" w14:textId="3F5752E5"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allocates responsibility for implementing the policy to a specific individual</w:t>
      </w:r>
    </w:p>
    <w:p w14:paraId="3273BF6A" w14:textId="77777777"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is provided to the Data Controller on or before the commencement of this Agreement;</w:t>
      </w:r>
    </w:p>
    <w:p w14:paraId="1D830127" w14:textId="77777777"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is disseminated to all relevant staff; and</w:t>
      </w:r>
    </w:p>
    <w:p w14:paraId="45CFFF1F" w14:textId="77777777"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provides a mechanism for feedback and review.</w:t>
      </w:r>
    </w:p>
    <w:p w14:paraId="577B2CD0"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ensure that appropriate security safeguards and virus protection are in place to protect the hardware and software which is used in processing the Personal Data in accordance with best industry practice;</w:t>
      </w:r>
    </w:p>
    <w:p w14:paraId="2B731EA0"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prevent unauthorised access to the Personal Data;</w:t>
      </w:r>
    </w:p>
    <w:p w14:paraId="7A6AABA6"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protect the Personal Data using pseudonymisation, where it is practical to do so;</w:t>
      </w:r>
    </w:p>
    <w:p w14:paraId="6948031A"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ensure that its storage of Personal Data conforms with best industry practice such that the media on which Personal Data is recorded (including paper records and records stored electronically) are stored in secure locations and access by personnel to Personal Data is strictly monitored and controlled;</w:t>
      </w:r>
    </w:p>
    <w:p w14:paraId="0AABE9C5" w14:textId="5CC8C449"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have secure methods in place for the transfer of Personal Data whether in physical form (for example, by using couriers rather than post) or electronic form (for example, by using encryption);</w:t>
      </w:r>
    </w:p>
    <w:p w14:paraId="0033DE92" w14:textId="489266C9"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password protect all computers and other devices on which Personal Data is stored, ensuring that all passwords are secure, and that passwords are not shared under any circumstances;</w:t>
      </w:r>
    </w:p>
    <w:p w14:paraId="2E9DE7BF"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take reasonable steps to ensure the reliability of personnel who have access to the Personal Data;</w:t>
      </w:r>
    </w:p>
    <w:p w14:paraId="7AD0699E"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have in place methods for detecting and dealing with breaches of security (including loss, damage, or destruction of Personal Data) including:</w:t>
      </w:r>
    </w:p>
    <w:p w14:paraId="2870CD6F" w14:textId="77777777"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the ability to identify which individuals have worked with specific Personal Data;</w:t>
      </w:r>
    </w:p>
    <w:p w14:paraId="0A85D8B2" w14:textId="03084340"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having a proper procedure in place for investigating and remedying breaches of the GDPR; and</w:t>
      </w:r>
      <w:r w:rsidR="00431740">
        <w:rPr>
          <w:rFonts w:asciiTheme="minorHAnsi" w:hAnsiTheme="minorHAnsi" w:cstheme="minorHAnsi"/>
          <w:szCs w:val="22"/>
        </w:rPr>
        <w:t>,</w:t>
      </w:r>
    </w:p>
    <w:p w14:paraId="4BD6CF13" w14:textId="77777777" w:rsidR="00B3376B" w:rsidRPr="0019225A" w:rsidRDefault="00B3376B" w:rsidP="00B3376B">
      <w:pPr>
        <w:pStyle w:val="Style311"/>
        <w:numPr>
          <w:ilvl w:val="4"/>
          <w:numId w:val="30"/>
        </w:numPr>
        <w:rPr>
          <w:rFonts w:asciiTheme="minorHAnsi" w:hAnsiTheme="minorHAnsi" w:cstheme="minorHAnsi"/>
        </w:rPr>
      </w:pPr>
      <w:r w:rsidRPr="0019225A">
        <w:rPr>
          <w:rFonts w:asciiTheme="minorHAnsi" w:hAnsiTheme="minorHAnsi" w:cstheme="minorHAnsi"/>
          <w:szCs w:val="22"/>
        </w:rPr>
        <w:t>notifying the Data Controller as soon as any such security breach occurs.</w:t>
      </w:r>
    </w:p>
    <w:p w14:paraId="0AD2DE67"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lastRenderedPageBreak/>
        <w:t>have a secure procedure for backing up all electronic Personal Data and storing back-ups separately from originals;</w:t>
      </w:r>
    </w:p>
    <w:p w14:paraId="56AAC85E"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have a secure method of disposal of unwanted Personal Data including for back-ups, disks, print-outs, and redundant equipment; and</w:t>
      </w:r>
    </w:p>
    <w:p w14:paraId="70D5ABC4" w14:textId="77777777" w:rsidR="00B3376B" w:rsidRPr="0019225A" w:rsidRDefault="00B3376B" w:rsidP="00B3376B">
      <w:pPr>
        <w:pStyle w:val="Style2"/>
        <w:widowControl w:val="0"/>
        <w:numPr>
          <w:ilvl w:val="2"/>
          <w:numId w:val="30"/>
        </w:numPr>
        <w:overflowPunct w:val="0"/>
        <w:autoSpaceDE w:val="0"/>
        <w:autoSpaceDN w:val="0"/>
        <w:adjustRightInd w:val="0"/>
        <w:spacing w:after="120" w:line="240" w:lineRule="auto"/>
        <w:contextualSpacing w:val="0"/>
        <w:jc w:val="both"/>
        <w:textAlignment w:val="baseline"/>
      </w:pPr>
      <w:r w:rsidRPr="0019225A">
        <w:t>adopt such organisational, operational, and technological processes and procedures as are required to comply with the requirements of ISO/IEC 27001:2013, as appropriate to the Services provided to the Data Controller.</w:t>
      </w:r>
    </w:p>
    <w:p w14:paraId="502B7470" w14:textId="77777777" w:rsidR="00B3376B" w:rsidRPr="0019225A" w:rsidRDefault="00B3376B" w:rsidP="00B3376B"/>
    <w:p w14:paraId="04322B6E" w14:textId="6CAEB676" w:rsidR="007C4FCA" w:rsidRDefault="007C4FCA" w:rsidP="00B372E0">
      <w:pPr>
        <w:rPr>
          <w:b/>
          <w:sz w:val="24"/>
        </w:rPr>
      </w:pPr>
      <w:r w:rsidRPr="00D77887">
        <w:t xml:space="preserve">  </w:t>
      </w:r>
    </w:p>
    <w:p w14:paraId="5374A138" w14:textId="5E49F39C" w:rsidR="003C1F20" w:rsidRPr="00A21472" w:rsidRDefault="003C1F20" w:rsidP="003C1F20">
      <w:pPr>
        <w:pStyle w:val="Heading1"/>
      </w:pPr>
      <w:r w:rsidRPr="00A21472">
        <w:t xml:space="preserve">SCHEDULE </w:t>
      </w:r>
      <w:r w:rsidR="007C4FCA">
        <w:t>2</w:t>
      </w:r>
    </w:p>
    <w:p w14:paraId="3C59C2AD" w14:textId="77777777" w:rsidR="003C1F20" w:rsidRPr="00A21472" w:rsidRDefault="003C1F20" w:rsidP="003C1F20">
      <w:pPr>
        <w:rPr>
          <w:rFonts w:cs="Arial"/>
        </w:rPr>
      </w:pPr>
    </w:p>
    <w:p w14:paraId="5A8E3ED0" w14:textId="3769243D" w:rsidR="003C1F20" w:rsidRPr="00A21472" w:rsidRDefault="003C1F20" w:rsidP="003C1F20">
      <w:pPr>
        <w:pStyle w:val="Heading1"/>
      </w:pPr>
      <w:r>
        <w:t>SERVICES</w:t>
      </w:r>
    </w:p>
    <w:p w14:paraId="1868A3C4" w14:textId="77777777" w:rsidR="003C1F20" w:rsidRPr="00721DB2" w:rsidRDefault="00ED2CE9" w:rsidP="00721DB2">
      <w:pPr>
        <w:ind w:left="0" w:firstLine="0"/>
      </w:pPr>
      <w:r w:rsidRPr="00721DB2">
        <w:t>Provision of advice and guidance in relation to employment law compliance;</w:t>
      </w:r>
    </w:p>
    <w:p w14:paraId="7D73577A" w14:textId="02AB05B2" w:rsidR="008D2BED" w:rsidRPr="00721DB2" w:rsidRDefault="00ED2CE9" w:rsidP="00721DB2">
      <w:pPr>
        <w:ind w:left="0" w:firstLine="0"/>
      </w:pPr>
      <w:r w:rsidRPr="00721DB2">
        <w:t>Provision of advice and guidance in relation to HR management, including</w:t>
      </w:r>
      <w:r w:rsidR="008D2BED" w:rsidRPr="00721DB2">
        <w:t xml:space="preserve"> performance, training, recruitment</w:t>
      </w:r>
      <w:r w:rsidR="00083940">
        <w:t xml:space="preserve"> and employment benefits</w:t>
      </w:r>
      <w:r w:rsidR="008D2BED" w:rsidRPr="00721DB2">
        <w:t>;</w:t>
      </w:r>
    </w:p>
    <w:p w14:paraId="6591028A" w14:textId="77777777" w:rsidR="008D2BED" w:rsidRPr="00721DB2" w:rsidRDefault="008D2BED" w:rsidP="00721DB2">
      <w:pPr>
        <w:ind w:left="0" w:firstLine="0"/>
      </w:pPr>
      <w:r w:rsidRPr="00721DB2">
        <w:t xml:space="preserve">Provision of </w:t>
      </w:r>
      <w:r w:rsidR="00CD4A39" w:rsidRPr="00721DB2">
        <w:t>employment contract</w:t>
      </w:r>
      <w:r w:rsidR="00721DB2" w:rsidRPr="00721DB2">
        <w:t>s and related material</w:t>
      </w:r>
      <w:r w:rsidR="00CD4A39" w:rsidRPr="00721DB2">
        <w:t>, policies and procedures, process workflows</w:t>
      </w:r>
      <w:r w:rsidR="00721DB2" w:rsidRPr="00721DB2">
        <w:t>;</w:t>
      </w:r>
    </w:p>
    <w:p w14:paraId="3FC72C52" w14:textId="77777777" w:rsidR="008B0438" w:rsidRDefault="008B7FF6" w:rsidP="008B7FF6">
      <w:pPr>
        <w:ind w:left="0" w:firstLine="0"/>
      </w:pPr>
      <w:r>
        <w:t>HR administration functions</w:t>
      </w:r>
      <w:r w:rsidR="008B0438">
        <w:t>, excluding payroll processing;</w:t>
      </w:r>
    </w:p>
    <w:p w14:paraId="63B6EFCB" w14:textId="56273C1B" w:rsidR="00721DB2" w:rsidRPr="008B7FF6" w:rsidRDefault="008B0438" w:rsidP="008B7FF6">
      <w:pPr>
        <w:ind w:left="0" w:firstLine="0"/>
        <w:sectPr w:rsidR="00721DB2" w:rsidRPr="008B7FF6" w:rsidSect="00B372E0">
          <w:headerReference w:type="first" r:id="rId8"/>
          <w:pgSz w:w="11908" w:h="16833" w:code="9"/>
          <w:pgMar w:top="1418" w:right="1418" w:bottom="1418" w:left="1418" w:header="720" w:footer="720" w:gutter="0"/>
          <w:cols w:space="720"/>
          <w:noEndnote/>
          <w:titlePg/>
          <w:docGrid w:linePitch="299"/>
        </w:sectPr>
      </w:pPr>
      <w:r>
        <w:t>Provision and</w:t>
      </w:r>
      <w:r w:rsidR="00083940">
        <w:t xml:space="preserve"> administration </w:t>
      </w:r>
      <w:r>
        <w:t xml:space="preserve">of online HR management applications </w:t>
      </w:r>
      <w:r w:rsidR="00BB58D3">
        <w:t xml:space="preserve"> </w:t>
      </w:r>
      <w:r w:rsidR="00083940">
        <w:t>.</w:t>
      </w:r>
    </w:p>
    <w:p w14:paraId="7C1A29F7" w14:textId="44F4D4EB" w:rsidR="003C1F20" w:rsidRPr="00A21472" w:rsidRDefault="003C1F20" w:rsidP="003C1F20">
      <w:pPr>
        <w:pStyle w:val="Heading1"/>
      </w:pPr>
      <w:r w:rsidRPr="00A21472">
        <w:lastRenderedPageBreak/>
        <w:t xml:space="preserve">SCHEDULE </w:t>
      </w:r>
      <w:r w:rsidR="007C4FCA">
        <w:t>3</w:t>
      </w:r>
    </w:p>
    <w:p w14:paraId="40328F6E" w14:textId="77777777" w:rsidR="003C1F20" w:rsidRPr="00A21472" w:rsidRDefault="003C1F20" w:rsidP="00892DA6">
      <w:pPr>
        <w:pStyle w:val="Heading1"/>
      </w:pPr>
      <w:r w:rsidRPr="00A21472">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4394"/>
        <w:gridCol w:w="2552"/>
        <w:gridCol w:w="1212"/>
      </w:tblGrid>
      <w:tr w:rsidR="0040575A" w:rsidRPr="00ED5165" w14:paraId="4658E594" w14:textId="77777777" w:rsidTr="0060436B">
        <w:trPr>
          <w:tblHeader/>
        </w:trPr>
        <w:tc>
          <w:tcPr>
            <w:tcW w:w="1980" w:type="dxa"/>
            <w:shd w:val="clear" w:color="auto" w:fill="D9D9D9"/>
            <w:tcMar>
              <w:top w:w="85" w:type="dxa"/>
              <w:left w:w="85" w:type="dxa"/>
              <w:bottom w:w="85" w:type="dxa"/>
              <w:right w:w="85" w:type="dxa"/>
            </w:tcMar>
          </w:tcPr>
          <w:p w14:paraId="3D96BC8C" w14:textId="77777777" w:rsidR="003C1F20" w:rsidRPr="00ED5165" w:rsidRDefault="003C1F20" w:rsidP="00583410">
            <w:pPr>
              <w:rPr>
                <w:b/>
                <w:sz w:val="20"/>
              </w:rPr>
            </w:pPr>
            <w:r w:rsidRPr="00ED5165">
              <w:rPr>
                <w:b/>
                <w:sz w:val="20"/>
              </w:rPr>
              <w:t>Type of Personal Data</w:t>
            </w:r>
          </w:p>
        </w:tc>
        <w:tc>
          <w:tcPr>
            <w:tcW w:w="3260" w:type="dxa"/>
            <w:shd w:val="clear" w:color="auto" w:fill="D9D9D9"/>
            <w:tcMar>
              <w:top w:w="85" w:type="dxa"/>
              <w:left w:w="85" w:type="dxa"/>
              <w:bottom w:w="85" w:type="dxa"/>
              <w:right w:w="85" w:type="dxa"/>
            </w:tcMar>
          </w:tcPr>
          <w:p w14:paraId="5ACC22A5" w14:textId="77777777" w:rsidR="003C1F20" w:rsidRPr="00ED5165" w:rsidRDefault="003C1F20" w:rsidP="00583410">
            <w:pPr>
              <w:rPr>
                <w:b/>
                <w:sz w:val="20"/>
              </w:rPr>
            </w:pPr>
            <w:r w:rsidRPr="00ED5165">
              <w:rPr>
                <w:b/>
                <w:sz w:val="20"/>
              </w:rPr>
              <w:t>Category of Data Subject</w:t>
            </w:r>
          </w:p>
        </w:tc>
        <w:tc>
          <w:tcPr>
            <w:tcW w:w="4394" w:type="dxa"/>
            <w:shd w:val="clear" w:color="auto" w:fill="D9D9D9"/>
            <w:tcMar>
              <w:top w:w="85" w:type="dxa"/>
              <w:left w:w="85" w:type="dxa"/>
              <w:bottom w:w="85" w:type="dxa"/>
              <w:right w:w="85" w:type="dxa"/>
            </w:tcMar>
          </w:tcPr>
          <w:p w14:paraId="645A0156" w14:textId="77777777" w:rsidR="003C1F20" w:rsidRPr="00ED5165" w:rsidRDefault="003C1F20" w:rsidP="00583410">
            <w:pPr>
              <w:rPr>
                <w:b/>
                <w:sz w:val="20"/>
              </w:rPr>
            </w:pPr>
            <w:r w:rsidRPr="00ED5165">
              <w:rPr>
                <w:b/>
                <w:sz w:val="20"/>
              </w:rPr>
              <w:t>Nature of Processing Carried Out</w:t>
            </w:r>
          </w:p>
        </w:tc>
        <w:tc>
          <w:tcPr>
            <w:tcW w:w="2552" w:type="dxa"/>
            <w:shd w:val="clear" w:color="auto" w:fill="D9D9D9"/>
            <w:tcMar>
              <w:top w:w="85" w:type="dxa"/>
              <w:left w:w="85" w:type="dxa"/>
              <w:bottom w:w="85" w:type="dxa"/>
              <w:right w:w="85" w:type="dxa"/>
            </w:tcMar>
          </w:tcPr>
          <w:p w14:paraId="6BF22192" w14:textId="77777777" w:rsidR="003C1F20" w:rsidRPr="00ED5165" w:rsidRDefault="003C1F20" w:rsidP="00583410">
            <w:pPr>
              <w:rPr>
                <w:b/>
                <w:sz w:val="20"/>
              </w:rPr>
            </w:pPr>
            <w:r w:rsidRPr="00ED5165">
              <w:rPr>
                <w:b/>
                <w:sz w:val="20"/>
              </w:rPr>
              <w:t>Purpose(s) of Processing</w:t>
            </w:r>
          </w:p>
        </w:tc>
        <w:tc>
          <w:tcPr>
            <w:tcW w:w="1212" w:type="dxa"/>
            <w:shd w:val="clear" w:color="auto" w:fill="D9D9D9"/>
            <w:tcMar>
              <w:top w:w="85" w:type="dxa"/>
              <w:left w:w="85" w:type="dxa"/>
              <w:bottom w:w="85" w:type="dxa"/>
              <w:right w:w="85" w:type="dxa"/>
            </w:tcMar>
          </w:tcPr>
          <w:p w14:paraId="42FEDC5E" w14:textId="77777777" w:rsidR="003C1F20" w:rsidRPr="00ED5165" w:rsidRDefault="003C1F20" w:rsidP="00583410">
            <w:pPr>
              <w:rPr>
                <w:b/>
                <w:sz w:val="20"/>
              </w:rPr>
            </w:pPr>
            <w:r w:rsidRPr="00ED5165">
              <w:rPr>
                <w:b/>
                <w:sz w:val="20"/>
              </w:rPr>
              <w:t>Duration of Processing</w:t>
            </w:r>
          </w:p>
        </w:tc>
      </w:tr>
      <w:tr w:rsidR="0040575A" w:rsidRPr="00ED5165" w14:paraId="2E120798" w14:textId="77777777" w:rsidTr="0060436B">
        <w:tc>
          <w:tcPr>
            <w:tcW w:w="1980" w:type="dxa"/>
            <w:shd w:val="clear" w:color="auto" w:fill="auto"/>
            <w:tcMar>
              <w:top w:w="85" w:type="dxa"/>
              <w:left w:w="85" w:type="dxa"/>
              <w:bottom w:w="85" w:type="dxa"/>
              <w:right w:w="85" w:type="dxa"/>
            </w:tcMar>
          </w:tcPr>
          <w:p w14:paraId="5B6C3A07" w14:textId="2068913C" w:rsidR="003C1F20" w:rsidRPr="00ED5165" w:rsidRDefault="000B6F53" w:rsidP="00583410">
            <w:pPr>
              <w:rPr>
                <w:sz w:val="20"/>
              </w:rPr>
            </w:pPr>
            <w:r>
              <w:rPr>
                <w:sz w:val="20"/>
              </w:rPr>
              <w:t xml:space="preserve">Recruitment </w:t>
            </w:r>
          </w:p>
        </w:tc>
        <w:tc>
          <w:tcPr>
            <w:tcW w:w="3260" w:type="dxa"/>
            <w:shd w:val="clear" w:color="auto" w:fill="auto"/>
            <w:tcMar>
              <w:top w:w="85" w:type="dxa"/>
              <w:left w:w="85" w:type="dxa"/>
              <w:bottom w:w="85" w:type="dxa"/>
              <w:right w:w="85" w:type="dxa"/>
            </w:tcMar>
          </w:tcPr>
          <w:p w14:paraId="61FB0186" w14:textId="3C270DE6" w:rsidR="003C1F20" w:rsidRPr="00ED5165" w:rsidRDefault="009F5055" w:rsidP="00583410">
            <w:pPr>
              <w:rPr>
                <w:sz w:val="20"/>
              </w:rPr>
            </w:pPr>
            <w:r>
              <w:rPr>
                <w:sz w:val="20"/>
              </w:rPr>
              <w:t>Applicants</w:t>
            </w:r>
            <w:r w:rsidR="0090542E">
              <w:rPr>
                <w:sz w:val="20"/>
              </w:rPr>
              <w:t xml:space="preserve"> for employment or other contracts for and of personal service</w:t>
            </w:r>
          </w:p>
        </w:tc>
        <w:tc>
          <w:tcPr>
            <w:tcW w:w="4394" w:type="dxa"/>
            <w:shd w:val="clear" w:color="auto" w:fill="auto"/>
            <w:tcMar>
              <w:top w:w="85" w:type="dxa"/>
              <w:left w:w="85" w:type="dxa"/>
              <w:bottom w:w="85" w:type="dxa"/>
              <w:right w:w="85" w:type="dxa"/>
            </w:tcMar>
          </w:tcPr>
          <w:p w14:paraId="7576497E" w14:textId="57E71394" w:rsidR="003C1F20" w:rsidRPr="00ED5165" w:rsidRDefault="00740976" w:rsidP="00583410">
            <w:pPr>
              <w:rPr>
                <w:sz w:val="20"/>
              </w:rPr>
            </w:pPr>
            <w:r>
              <w:rPr>
                <w:sz w:val="20"/>
              </w:rPr>
              <w:t>Collecting, analysing</w:t>
            </w:r>
            <w:r w:rsidR="00D944B6">
              <w:rPr>
                <w:sz w:val="20"/>
              </w:rPr>
              <w:t>, reporting</w:t>
            </w:r>
            <w:r w:rsidR="0040575A">
              <w:rPr>
                <w:sz w:val="20"/>
              </w:rPr>
              <w:t>, creating legal and management documentation and providing advice</w:t>
            </w:r>
          </w:p>
        </w:tc>
        <w:tc>
          <w:tcPr>
            <w:tcW w:w="2552" w:type="dxa"/>
            <w:shd w:val="clear" w:color="auto" w:fill="auto"/>
            <w:tcMar>
              <w:top w:w="85" w:type="dxa"/>
              <w:left w:w="85" w:type="dxa"/>
              <w:bottom w:w="85" w:type="dxa"/>
              <w:right w:w="85" w:type="dxa"/>
            </w:tcMar>
          </w:tcPr>
          <w:p w14:paraId="55EE627B" w14:textId="330C3901" w:rsidR="003C1F20" w:rsidRPr="00ED5165" w:rsidRDefault="00740976" w:rsidP="00583410">
            <w:pPr>
              <w:rPr>
                <w:sz w:val="20"/>
              </w:rPr>
            </w:pPr>
            <w:r>
              <w:rPr>
                <w:sz w:val="20"/>
              </w:rPr>
              <w:t>Advice and guidance on legal and contractual matters</w:t>
            </w:r>
          </w:p>
        </w:tc>
        <w:tc>
          <w:tcPr>
            <w:tcW w:w="1212" w:type="dxa"/>
            <w:shd w:val="clear" w:color="auto" w:fill="auto"/>
            <w:tcMar>
              <w:top w:w="85" w:type="dxa"/>
              <w:left w:w="85" w:type="dxa"/>
              <w:bottom w:w="85" w:type="dxa"/>
              <w:right w:w="85" w:type="dxa"/>
            </w:tcMar>
          </w:tcPr>
          <w:p w14:paraId="3544DE54" w14:textId="45CAAB53" w:rsidR="003C1F20" w:rsidRPr="00ED5165" w:rsidRDefault="00740976" w:rsidP="00583410">
            <w:pPr>
              <w:rPr>
                <w:sz w:val="20"/>
              </w:rPr>
            </w:pPr>
            <w:r>
              <w:rPr>
                <w:sz w:val="20"/>
              </w:rPr>
              <w:t>5 years</w:t>
            </w:r>
          </w:p>
        </w:tc>
      </w:tr>
      <w:tr w:rsidR="00B372E0" w:rsidRPr="00ED5165" w14:paraId="3656B2BF" w14:textId="77777777" w:rsidTr="0060436B">
        <w:tc>
          <w:tcPr>
            <w:tcW w:w="1980" w:type="dxa"/>
            <w:shd w:val="clear" w:color="auto" w:fill="auto"/>
            <w:tcMar>
              <w:top w:w="85" w:type="dxa"/>
              <w:left w:w="85" w:type="dxa"/>
              <w:bottom w:w="85" w:type="dxa"/>
              <w:right w:w="85" w:type="dxa"/>
            </w:tcMar>
          </w:tcPr>
          <w:p w14:paraId="04BA2C36" w14:textId="66986EC1" w:rsidR="00B372E0" w:rsidRPr="00ED5165" w:rsidRDefault="00B372E0" w:rsidP="00B372E0">
            <w:pPr>
              <w:rPr>
                <w:sz w:val="20"/>
              </w:rPr>
            </w:pPr>
            <w:r>
              <w:rPr>
                <w:sz w:val="20"/>
              </w:rPr>
              <w:t xml:space="preserve">Contact </w:t>
            </w:r>
          </w:p>
        </w:tc>
        <w:tc>
          <w:tcPr>
            <w:tcW w:w="3260" w:type="dxa"/>
            <w:shd w:val="clear" w:color="auto" w:fill="auto"/>
            <w:tcMar>
              <w:top w:w="85" w:type="dxa"/>
              <w:left w:w="85" w:type="dxa"/>
              <w:bottom w:w="85" w:type="dxa"/>
              <w:right w:w="85" w:type="dxa"/>
            </w:tcMar>
          </w:tcPr>
          <w:p w14:paraId="753ECCDC" w14:textId="536AA008" w:rsidR="00B372E0" w:rsidRPr="00ED5165" w:rsidRDefault="00B372E0" w:rsidP="00B372E0">
            <w:pPr>
              <w:rPr>
                <w:sz w:val="20"/>
              </w:rPr>
            </w:pPr>
            <w:r>
              <w:rPr>
                <w:sz w:val="20"/>
              </w:rPr>
              <w:t>Employees, Directors, Partners, Trustees, workers and contractors</w:t>
            </w:r>
          </w:p>
        </w:tc>
        <w:tc>
          <w:tcPr>
            <w:tcW w:w="4394" w:type="dxa"/>
            <w:shd w:val="clear" w:color="auto" w:fill="auto"/>
            <w:tcMar>
              <w:top w:w="85" w:type="dxa"/>
              <w:left w:w="85" w:type="dxa"/>
              <w:bottom w:w="85" w:type="dxa"/>
              <w:right w:w="85" w:type="dxa"/>
            </w:tcMar>
          </w:tcPr>
          <w:p w14:paraId="05460B70" w14:textId="1959E2C6" w:rsidR="00B372E0" w:rsidRPr="00ED5165" w:rsidRDefault="00B372E0" w:rsidP="00B372E0">
            <w:pPr>
              <w:rPr>
                <w:sz w:val="20"/>
              </w:rPr>
            </w:pPr>
            <w:r>
              <w:rPr>
                <w:sz w:val="20"/>
              </w:rPr>
              <w:t>Collecting, analysing, reporting, creating legal and management documentation and providing advice</w:t>
            </w:r>
          </w:p>
        </w:tc>
        <w:tc>
          <w:tcPr>
            <w:tcW w:w="2552" w:type="dxa"/>
            <w:shd w:val="clear" w:color="auto" w:fill="auto"/>
            <w:tcMar>
              <w:top w:w="85" w:type="dxa"/>
              <w:left w:w="85" w:type="dxa"/>
              <w:bottom w:w="85" w:type="dxa"/>
              <w:right w:w="85" w:type="dxa"/>
            </w:tcMar>
          </w:tcPr>
          <w:p w14:paraId="6B31705F" w14:textId="1CC5B12D" w:rsidR="00B372E0" w:rsidRPr="00ED5165" w:rsidRDefault="00B372E0" w:rsidP="00B372E0">
            <w:pPr>
              <w:rPr>
                <w:sz w:val="20"/>
              </w:rPr>
            </w:pPr>
            <w:r>
              <w:rPr>
                <w:sz w:val="20"/>
              </w:rPr>
              <w:t>Advice and guidance on legal and contractual matters</w:t>
            </w:r>
          </w:p>
        </w:tc>
        <w:tc>
          <w:tcPr>
            <w:tcW w:w="1212" w:type="dxa"/>
            <w:shd w:val="clear" w:color="auto" w:fill="auto"/>
            <w:tcMar>
              <w:top w:w="85" w:type="dxa"/>
              <w:left w:w="85" w:type="dxa"/>
              <w:bottom w:w="85" w:type="dxa"/>
              <w:right w:w="85" w:type="dxa"/>
            </w:tcMar>
          </w:tcPr>
          <w:p w14:paraId="62B0DE8D" w14:textId="1FBE05D5" w:rsidR="00B372E0" w:rsidRPr="00ED5165" w:rsidRDefault="00B372E0" w:rsidP="00B372E0">
            <w:pPr>
              <w:rPr>
                <w:sz w:val="20"/>
              </w:rPr>
            </w:pPr>
            <w:r>
              <w:rPr>
                <w:sz w:val="20"/>
              </w:rPr>
              <w:t>5 years</w:t>
            </w:r>
          </w:p>
        </w:tc>
      </w:tr>
      <w:tr w:rsidR="00B372E0" w:rsidRPr="00ED5165" w14:paraId="4196E743" w14:textId="77777777" w:rsidTr="0060436B">
        <w:tc>
          <w:tcPr>
            <w:tcW w:w="1980" w:type="dxa"/>
            <w:shd w:val="clear" w:color="auto" w:fill="auto"/>
            <w:tcMar>
              <w:top w:w="85" w:type="dxa"/>
              <w:left w:w="85" w:type="dxa"/>
              <w:bottom w:w="85" w:type="dxa"/>
              <w:right w:w="85" w:type="dxa"/>
            </w:tcMar>
          </w:tcPr>
          <w:p w14:paraId="371415F7" w14:textId="19E279D5" w:rsidR="00B372E0" w:rsidRPr="00ED5165" w:rsidRDefault="00B372E0" w:rsidP="00B372E0">
            <w:pPr>
              <w:rPr>
                <w:sz w:val="20"/>
              </w:rPr>
            </w:pPr>
            <w:r>
              <w:rPr>
                <w:sz w:val="20"/>
              </w:rPr>
              <w:t xml:space="preserve">Terms and conditions of employment </w:t>
            </w:r>
          </w:p>
        </w:tc>
        <w:tc>
          <w:tcPr>
            <w:tcW w:w="3260" w:type="dxa"/>
            <w:shd w:val="clear" w:color="auto" w:fill="auto"/>
            <w:tcMar>
              <w:top w:w="85" w:type="dxa"/>
              <w:left w:w="85" w:type="dxa"/>
              <w:bottom w:w="85" w:type="dxa"/>
              <w:right w:w="85" w:type="dxa"/>
            </w:tcMar>
          </w:tcPr>
          <w:p w14:paraId="189B70A3" w14:textId="432FD96F" w:rsidR="00B372E0" w:rsidRPr="00ED5165" w:rsidRDefault="00B372E0" w:rsidP="00B372E0">
            <w:pPr>
              <w:rPr>
                <w:sz w:val="20"/>
              </w:rPr>
            </w:pPr>
            <w:r>
              <w:rPr>
                <w:sz w:val="20"/>
              </w:rPr>
              <w:t>Employees, Directors, Partners, Trustees, workers and contractors</w:t>
            </w:r>
          </w:p>
        </w:tc>
        <w:tc>
          <w:tcPr>
            <w:tcW w:w="4394" w:type="dxa"/>
            <w:shd w:val="clear" w:color="auto" w:fill="auto"/>
            <w:tcMar>
              <w:top w:w="85" w:type="dxa"/>
              <w:left w:w="85" w:type="dxa"/>
              <w:bottom w:w="85" w:type="dxa"/>
              <w:right w:w="85" w:type="dxa"/>
            </w:tcMar>
          </w:tcPr>
          <w:p w14:paraId="1E3CD0C5" w14:textId="5928AD45" w:rsidR="00B372E0" w:rsidRPr="00ED5165" w:rsidRDefault="00B372E0" w:rsidP="00B372E0">
            <w:pPr>
              <w:rPr>
                <w:sz w:val="20"/>
              </w:rPr>
            </w:pPr>
            <w:r>
              <w:rPr>
                <w:sz w:val="20"/>
              </w:rPr>
              <w:t>Collecting, analysing, reporting, creating legal and management documentation and providing advice</w:t>
            </w:r>
          </w:p>
        </w:tc>
        <w:tc>
          <w:tcPr>
            <w:tcW w:w="2552" w:type="dxa"/>
            <w:shd w:val="clear" w:color="auto" w:fill="auto"/>
            <w:tcMar>
              <w:top w:w="85" w:type="dxa"/>
              <w:left w:w="85" w:type="dxa"/>
              <w:bottom w:w="85" w:type="dxa"/>
              <w:right w:w="85" w:type="dxa"/>
            </w:tcMar>
          </w:tcPr>
          <w:p w14:paraId="1E21C7D8" w14:textId="36DECF5B" w:rsidR="00B372E0" w:rsidRPr="00ED5165" w:rsidRDefault="00B372E0" w:rsidP="00B372E0">
            <w:pPr>
              <w:rPr>
                <w:sz w:val="20"/>
              </w:rPr>
            </w:pPr>
            <w:r>
              <w:rPr>
                <w:sz w:val="20"/>
              </w:rPr>
              <w:t>Advice and guidance on legal and contractual matters</w:t>
            </w:r>
          </w:p>
        </w:tc>
        <w:tc>
          <w:tcPr>
            <w:tcW w:w="1212" w:type="dxa"/>
            <w:shd w:val="clear" w:color="auto" w:fill="auto"/>
            <w:tcMar>
              <w:top w:w="85" w:type="dxa"/>
              <w:left w:w="85" w:type="dxa"/>
              <w:bottom w:w="85" w:type="dxa"/>
              <w:right w:w="85" w:type="dxa"/>
            </w:tcMar>
          </w:tcPr>
          <w:p w14:paraId="10FC7EBE" w14:textId="56811260" w:rsidR="00B372E0" w:rsidRPr="00ED5165" w:rsidRDefault="00B372E0" w:rsidP="00B372E0">
            <w:pPr>
              <w:rPr>
                <w:sz w:val="20"/>
              </w:rPr>
            </w:pPr>
            <w:r>
              <w:rPr>
                <w:sz w:val="20"/>
              </w:rPr>
              <w:t>5 years</w:t>
            </w:r>
          </w:p>
        </w:tc>
      </w:tr>
      <w:tr w:rsidR="00B372E0" w:rsidRPr="00ED5165" w14:paraId="16F2FF73" w14:textId="77777777" w:rsidTr="0060436B">
        <w:tc>
          <w:tcPr>
            <w:tcW w:w="1980" w:type="dxa"/>
            <w:shd w:val="clear" w:color="auto" w:fill="auto"/>
            <w:tcMar>
              <w:top w:w="85" w:type="dxa"/>
              <w:left w:w="85" w:type="dxa"/>
              <w:bottom w:w="85" w:type="dxa"/>
              <w:right w:w="85" w:type="dxa"/>
            </w:tcMar>
          </w:tcPr>
          <w:p w14:paraId="5532BD92" w14:textId="3347FD1C" w:rsidR="00B372E0" w:rsidRPr="00ED5165" w:rsidRDefault="00B372E0" w:rsidP="00B372E0">
            <w:pPr>
              <w:rPr>
                <w:sz w:val="20"/>
              </w:rPr>
            </w:pPr>
            <w:r>
              <w:rPr>
                <w:sz w:val="20"/>
              </w:rPr>
              <w:t>Financial</w:t>
            </w:r>
          </w:p>
        </w:tc>
        <w:tc>
          <w:tcPr>
            <w:tcW w:w="3260" w:type="dxa"/>
            <w:shd w:val="clear" w:color="auto" w:fill="auto"/>
            <w:tcMar>
              <w:top w:w="85" w:type="dxa"/>
              <w:left w:w="85" w:type="dxa"/>
              <w:bottom w:w="85" w:type="dxa"/>
              <w:right w:w="85" w:type="dxa"/>
            </w:tcMar>
          </w:tcPr>
          <w:p w14:paraId="169F67C7" w14:textId="604A2DFA" w:rsidR="00B372E0" w:rsidRPr="00ED5165" w:rsidRDefault="00B372E0" w:rsidP="00B372E0">
            <w:pPr>
              <w:rPr>
                <w:sz w:val="20"/>
              </w:rPr>
            </w:pPr>
            <w:r>
              <w:rPr>
                <w:sz w:val="20"/>
              </w:rPr>
              <w:t>Employees, Directors, Partners, Trustees, workers and contractors</w:t>
            </w:r>
          </w:p>
        </w:tc>
        <w:tc>
          <w:tcPr>
            <w:tcW w:w="4394" w:type="dxa"/>
            <w:shd w:val="clear" w:color="auto" w:fill="auto"/>
            <w:tcMar>
              <w:top w:w="85" w:type="dxa"/>
              <w:left w:w="85" w:type="dxa"/>
              <w:bottom w:w="85" w:type="dxa"/>
              <w:right w:w="85" w:type="dxa"/>
            </w:tcMar>
          </w:tcPr>
          <w:p w14:paraId="7C5CF9AF" w14:textId="619EA26E" w:rsidR="00B372E0" w:rsidRPr="00ED5165" w:rsidRDefault="00B372E0" w:rsidP="00B372E0">
            <w:pPr>
              <w:rPr>
                <w:sz w:val="20"/>
              </w:rPr>
            </w:pPr>
            <w:r>
              <w:rPr>
                <w:sz w:val="20"/>
              </w:rPr>
              <w:t>Collecting, analysing, reporting, creating legal and management documentation and providing advice</w:t>
            </w:r>
          </w:p>
        </w:tc>
        <w:tc>
          <w:tcPr>
            <w:tcW w:w="2552" w:type="dxa"/>
            <w:shd w:val="clear" w:color="auto" w:fill="auto"/>
            <w:tcMar>
              <w:top w:w="85" w:type="dxa"/>
              <w:left w:w="85" w:type="dxa"/>
              <w:bottom w:w="85" w:type="dxa"/>
              <w:right w:w="85" w:type="dxa"/>
            </w:tcMar>
          </w:tcPr>
          <w:p w14:paraId="15E397DA" w14:textId="448B80F3" w:rsidR="00B372E0" w:rsidRPr="00ED5165" w:rsidRDefault="00B372E0" w:rsidP="00B372E0">
            <w:pPr>
              <w:rPr>
                <w:sz w:val="20"/>
              </w:rPr>
            </w:pPr>
            <w:r>
              <w:rPr>
                <w:sz w:val="20"/>
              </w:rPr>
              <w:t>Advice and guidance on legal and contractual matters</w:t>
            </w:r>
          </w:p>
        </w:tc>
        <w:tc>
          <w:tcPr>
            <w:tcW w:w="1212" w:type="dxa"/>
            <w:shd w:val="clear" w:color="auto" w:fill="auto"/>
            <w:tcMar>
              <w:top w:w="85" w:type="dxa"/>
              <w:left w:w="85" w:type="dxa"/>
              <w:bottom w:w="85" w:type="dxa"/>
              <w:right w:w="85" w:type="dxa"/>
            </w:tcMar>
          </w:tcPr>
          <w:p w14:paraId="5745419D" w14:textId="50FECBCF" w:rsidR="00B372E0" w:rsidRPr="00ED5165" w:rsidRDefault="00B372E0" w:rsidP="00B372E0">
            <w:pPr>
              <w:rPr>
                <w:sz w:val="20"/>
              </w:rPr>
            </w:pPr>
            <w:r>
              <w:rPr>
                <w:sz w:val="20"/>
              </w:rPr>
              <w:t>5 years</w:t>
            </w:r>
          </w:p>
        </w:tc>
      </w:tr>
      <w:tr w:rsidR="00B372E0" w:rsidRPr="00ED5165" w14:paraId="145892CD" w14:textId="77777777" w:rsidTr="0060436B">
        <w:tc>
          <w:tcPr>
            <w:tcW w:w="1980" w:type="dxa"/>
            <w:shd w:val="clear" w:color="auto" w:fill="auto"/>
            <w:tcMar>
              <w:top w:w="85" w:type="dxa"/>
              <w:left w:w="85" w:type="dxa"/>
              <w:bottom w:w="85" w:type="dxa"/>
              <w:right w:w="85" w:type="dxa"/>
            </w:tcMar>
          </w:tcPr>
          <w:p w14:paraId="033EA956" w14:textId="44A7B2E8" w:rsidR="00B372E0" w:rsidRPr="00ED5165" w:rsidRDefault="00B372E0" w:rsidP="00B372E0">
            <w:pPr>
              <w:rPr>
                <w:sz w:val="20"/>
              </w:rPr>
            </w:pPr>
            <w:r>
              <w:rPr>
                <w:sz w:val="20"/>
              </w:rPr>
              <w:t xml:space="preserve">Performance and conduct </w:t>
            </w:r>
          </w:p>
        </w:tc>
        <w:tc>
          <w:tcPr>
            <w:tcW w:w="3260" w:type="dxa"/>
            <w:shd w:val="clear" w:color="auto" w:fill="auto"/>
            <w:tcMar>
              <w:top w:w="85" w:type="dxa"/>
              <w:left w:w="85" w:type="dxa"/>
              <w:bottom w:w="85" w:type="dxa"/>
              <w:right w:w="85" w:type="dxa"/>
            </w:tcMar>
          </w:tcPr>
          <w:p w14:paraId="15F2F175" w14:textId="6FB30783" w:rsidR="00B372E0" w:rsidRPr="00ED5165" w:rsidRDefault="00B372E0" w:rsidP="00B372E0">
            <w:pPr>
              <w:rPr>
                <w:sz w:val="20"/>
              </w:rPr>
            </w:pPr>
            <w:r>
              <w:rPr>
                <w:sz w:val="20"/>
              </w:rPr>
              <w:t>Employees, Directors, Partners, Trustees, workers and contractors</w:t>
            </w:r>
          </w:p>
        </w:tc>
        <w:tc>
          <w:tcPr>
            <w:tcW w:w="4394" w:type="dxa"/>
            <w:shd w:val="clear" w:color="auto" w:fill="auto"/>
            <w:tcMar>
              <w:top w:w="85" w:type="dxa"/>
              <w:left w:w="85" w:type="dxa"/>
              <w:bottom w:w="85" w:type="dxa"/>
              <w:right w:w="85" w:type="dxa"/>
            </w:tcMar>
          </w:tcPr>
          <w:p w14:paraId="2425C53D" w14:textId="63CC1336" w:rsidR="00B372E0" w:rsidRPr="00ED5165" w:rsidRDefault="00B372E0" w:rsidP="00B372E0">
            <w:pPr>
              <w:rPr>
                <w:sz w:val="20"/>
              </w:rPr>
            </w:pPr>
            <w:r>
              <w:rPr>
                <w:sz w:val="20"/>
              </w:rPr>
              <w:t>Collecting, analysing, reporting, creating legal and management documentation and providing advice</w:t>
            </w:r>
          </w:p>
        </w:tc>
        <w:tc>
          <w:tcPr>
            <w:tcW w:w="2552" w:type="dxa"/>
            <w:shd w:val="clear" w:color="auto" w:fill="auto"/>
            <w:tcMar>
              <w:top w:w="85" w:type="dxa"/>
              <w:left w:w="85" w:type="dxa"/>
              <w:bottom w:w="85" w:type="dxa"/>
              <w:right w:w="85" w:type="dxa"/>
            </w:tcMar>
          </w:tcPr>
          <w:p w14:paraId="580C7453" w14:textId="1383DB94" w:rsidR="00B372E0" w:rsidRPr="00ED5165" w:rsidRDefault="00B372E0" w:rsidP="00B372E0">
            <w:pPr>
              <w:rPr>
                <w:sz w:val="20"/>
              </w:rPr>
            </w:pPr>
            <w:r>
              <w:rPr>
                <w:sz w:val="20"/>
              </w:rPr>
              <w:t>Advice and guidance on legal and contractual matters</w:t>
            </w:r>
          </w:p>
        </w:tc>
        <w:tc>
          <w:tcPr>
            <w:tcW w:w="1212" w:type="dxa"/>
            <w:shd w:val="clear" w:color="auto" w:fill="auto"/>
            <w:tcMar>
              <w:top w:w="85" w:type="dxa"/>
              <w:left w:w="85" w:type="dxa"/>
              <w:bottom w:w="85" w:type="dxa"/>
              <w:right w:w="85" w:type="dxa"/>
            </w:tcMar>
          </w:tcPr>
          <w:p w14:paraId="70D772B6" w14:textId="545EDA5F" w:rsidR="00B372E0" w:rsidRPr="00ED5165" w:rsidRDefault="00B372E0" w:rsidP="00B372E0">
            <w:pPr>
              <w:rPr>
                <w:sz w:val="20"/>
              </w:rPr>
            </w:pPr>
            <w:r>
              <w:rPr>
                <w:sz w:val="20"/>
              </w:rPr>
              <w:t>5 years</w:t>
            </w:r>
          </w:p>
        </w:tc>
      </w:tr>
      <w:tr w:rsidR="00B372E0" w:rsidRPr="00ED5165" w14:paraId="04CF664F" w14:textId="77777777" w:rsidTr="0060436B">
        <w:tc>
          <w:tcPr>
            <w:tcW w:w="1980" w:type="dxa"/>
            <w:shd w:val="clear" w:color="auto" w:fill="auto"/>
            <w:tcMar>
              <w:top w:w="85" w:type="dxa"/>
              <w:left w:w="85" w:type="dxa"/>
              <w:bottom w:w="85" w:type="dxa"/>
              <w:right w:w="85" w:type="dxa"/>
            </w:tcMar>
          </w:tcPr>
          <w:p w14:paraId="25047E7E" w14:textId="49126A44" w:rsidR="00B372E0" w:rsidRPr="00ED5165" w:rsidRDefault="00B372E0" w:rsidP="00B372E0">
            <w:pPr>
              <w:rPr>
                <w:sz w:val="20"/>
              </w:rPr>
            </w:pPr>
            <w:r>
              <w:rPr>
                <w:sz w:val="20"/>
              </w:rPr>
              <w:t>Monitoring</w:t>
            </w:r>
          </w:p>
        </w:tc>
        <w:tc>
          <w:tcPr>
            <w:tcW w:w="3260" w:type="dxa"/>
            <w:shd w:val="clear" w:color="auto" w:fill="auto"/>
            <w:tcMar>
              <w:top w:w="85" w:type="dxa"/>
              <w:left w:w="85" w:type="dxa"/>
              <w:bottom w:w="85" w:type="dxa"/>
              <w:right w:w="85" w:type="dxa"/>
            </w:tcMar>
          </w:tcPr>
          <w:p w14:paraId="38756E35" w14:textId="6A3A8B22" w:rsidR="00B372E0" w:rsidRPr="00ED5165" w:rsidRDefault="00B372E0" w:rsidP="00B372E0">
            <w:pPr>
              <w:rPr>
                <w:sz w:val="20"/>
              </w:rPr>
            </w:pPr>
            <w:r>
              <w:rPr>
                <w:sz w:val="20"/>
              </w:rPr>
              <w:t>Employees, Directors, Partners, Trustees, workers and contractors</w:t>
            </w:r>
          </w:p>
        </w:tc>
        <w:tc>
          <w:tcPr>
            <w:tcW w:w="4394" w:type="dxa"/>
            <w:shd w:val="clear" w:color="auto" w:fill="auto"/>
            <w:tcMar>
              <w:top w:w="85" w:type="dxa"/>
              <w:left w:w="85" w:type="dxa"/>
              <w:bottom w:w="85" w:type="dxa"/>
              <w:right w:w="85" w:type="dxa"/>
            </w:tcMar>
          </w:tcPr>
          <w:p w14:paraId="0C11B735" w14:textId="0A17416F" w:rsidR="00B372E0" w:rsidRPr="00ED5165" w:rsidRDefault="00B372E0" w:rsidP="00B372E0">
            <w:pPr>
              <w:rPr>
                <w:sz w:val="20"/>
              </w:rPr>
            </w:pPr>
            <w:r>
              <w:rPr>
                <w:sz w:val="20"/>
              </w:rPr>
              <w:t>Collecting, analysing, reporting, creating legal and management documentation and providing advice</w:t>
            </w:r>
          </w:p>
        </w:tc>
        <w:tc>
          <w:tcPr>
            <w:tcW w:w="2552" w:type="dxa"/>
            <w:shd w:val="clear" w:color="auto" w:fill="auto"/>
            <w:tcMar>
              <w:top w:w="85" w:type="dxa"/>
              <w:left w:w="85" w:type="dxa"/>
              <w:bottom w:w="85" w:type="dxa"/>
              <w:right w:w="85" w:type="dxa"/>
            </w:tcMar>
          </w:tcPr>
          <w:p w14:paraId="1EAE1877" w14:textId="1B046ADA" w:rsidR="00B372E0" w:rsidRPr="00ED5165" w:rsidRDefault="00B372E0" w:rsidP="00B372E0">
            <w:pPr>
              <w:rPr>
                <w:sz w:val="20"/>
              </w:rPr>
            </w:pPr>
            <w:r>
              <w:rPr>
                <w:sz w:val="20"/>
              </w:rPr>
              <w:t>Advice and guidance on legal and contractual matters</w:t>
            </w:r>
          </w:p>
        </w:tc>
        <w:tc>
          <w:tcPr>
            <w:tcW w:w="1212" w:type="dxa"/>
            <w:shd w:val="clear" w:color="auto" w:fill="auto"/>
            <w:tcMar>
              <w:top w:w="85" w:type="dxa"/>
              <w:left w:w="85" w:type="dxa"/>
              <w:bottom w:w="85" w:type="dxa"/>
              <w:right w:w="85" w:type="dxa"/>
            </w:tcMar>
          </w:tcPr>
          <w:p w14:paraId="17ED4727" w14:textId="6255CA7F" w:rsidR="00B372E0" w:rsidRPr="00ED5165" w:rsidRDefault="00B372E0" w:rsidP="00B372E0">
            <w:pPr>
              <w:rPr>
                <w:sz w:val="20"/>
              </w:rPr>
            </w:pPr>
            <w:r>
              <w:rPr>
                <w:sz w:val="20"/>
              </w:rPr>
              <w:t>5 years</w:t>
            </w:r>
          </w:p>
        </w:tc>
      </w:tr>
      <w:tr w:rsidR="00B372E0" w:rsidRPr="00ED5165" w14:paraId="16226EA5" w14:textId="77777777" w:rsidTr="0060436B">
        <w:tc>
          <w:tcPr>
            <w:tcW w:w="1980" w:type="dxa"/>
            <w:shd w:val="clear" w:color="auto" w:fill="auto"/>
            <w:tcMar>
              <w:top w:w="85" w:type="dxa"/>
              <w:left w:w="85" w:type="dxa"/>
              <w:bottom w:w="85" w:type="dxa"/>
              <w:right w:w="85" w:type="dxa"/>
            </w:tcMar>
          </w:tcPr>
          <w:p w14:paraId="23948E96" w14:textId="498D8EAF" w:rsidR="00B372E0" w:rsidRPr="00ED5165" w:rsidRDefault="00B372E0" w:rsidP="00B372E0">
            <w:pPr>
              <w:rPr>
                <w:sz w:val="20"/>
              </w:rPr>
            </w:pPr>
            <w:r>
              <w:rPr>
                <w:sz w:val="20"/>
              </w:rPr>
              <w:t>Criminal offence</w:t>
            </w:r>
          </w:p>
        </w:tc>
        <w:tc>
          <w:tcPr>
            <w:tcW w:w="3260" w:type="dxa"/>
            <w:shd w:val="clear" w:color="auto" w:fill="auto"/>
            <w:tcMar>
              <w:top w:w="85" w:type="dxa"/>
              <w:left w:w="85" w:type="dxa"/>
              <w:bottom w:w="85" w:type="dxa"/>
              <w:right w:w="85" w:type="dxa"/>
            </w:tcMar>
          </w:tcPr>
          <w:p w14:paraId="152ED893" w14:textId="002EDA0F" w:rsidR="00B372E0" w:rsidRPr="00ED5165" w:rsidRDefault="00B372E0" w:rsidP="00B372E0">
            <w:pPr>
              <w:rPr>
                <w:sz w:val="20"/>
              </w:rPr>
            </w:pPr>
            <w:r>
              <w:rPr>
                <w:sz w:val="20"/>
              </w:rPr>
              <w:t>Employees, Directors, Partners, Trustees, workers and contractors</w:t>
            </w:r>
          </w:p>
        </w:tc>
        <w:tc>
          <w:tcPr>
            <w:tcW w:w="4394" w:type="dxa"/>
            <w:shd w:val="clear" w:color="auto" w:fill="auto"/>
            <w:tcMar>
              <w:top w:w="85" w:type="dxa"/>
              <w:left w:w="85" w:type="dxa"/>
              <w:bottom w:w="85" w:type="dxa"/>
              <w:right w:w="85" w:type="dxa"/>
            </w:tcMar>
          </w:tcPr>
          <w:p w14:paraId="41374F34" w14:textId="19B45903" w:rsidR="00B372E0" w:rsidRPr="00ED5165" w:rsidRDefault="00B372E0" w:rsidP="00B372E0">
            <w:pPr>
              <w:rPr>
                <w:sz w:val="20"/>
              </w:rPr>
            </w:pPr>
            <w:r>
              <w:rPr>
                <w:sz w:val="20"/>
              </w:rPr>
              <w:t>Collecting, analysing, reporting, creating legal and management documentation and providing advice</w:t>
            </w:r>
          </w:p>
        </w:tc>
        <w:tc>
          <w:tcPr>
            <w:tcW w:w="2552" w:type="dxa"/>
            <w:shd w:val="clear" w:color="auto" w:fill="auto"/>
            <w:tcMar>
              <w:top w:w="85" w:type="dxa"/>
              <w:left w:w="85" w:type="dxa"/>
              <w:bottom w:w="85" w:type="dxa"/>
              <w:right w:w="85" w:type="dxa"/>
            </w:tcMar>
          </w:tcPr>
          <w:p w14:paraId="01E64287" w14:textId="6A961730" w:rsidR="00B372E0" w:rsidRPr="00ED5165" w:rsidRDefault="00B372E0" w:rsidP="00B372E0">
            <w:pPr>
              <w:rPr>
                <w:sz w:val="20"/>
              </w:rPr>
            </w:pPr>
            <w:r>
              <w:rPr>
                <w:sz w:val="20"/>
              </w:rPr>
              <w:t>Advice and guidance on legal and contractual matters</w:t>
            </w:r>
          </w:p>
        </w:tc>
        <w:tc>
          <w:tcPr>
            <w:tcW w:w="1212" w:type="dxa"/>
            <w:shd w:val="clear" w:color="auto" w:fill="auto"/>
            <w:tcMar>
              <w:top w:w="85" w:type="dxa"/>
              <w:left w:w="85" w:type="dxa"/>
              <w:bottom w:w="85" w:type="dxa"/>
              <w:right w:w="85" w:type="dxa"/>
            </w:tcMar>
          </w:tcPr>
          <w:p w14:paraId="7992F734" w14:textId="388F3513" w:rsidR="00B372E0" w:rsidRPr="00ED5165" w:rsidRDefault="00B372E0" w:rsidP="00B372E0">
            <w:pPr>
              <w:rPr>
                <w:sz w:val="20"/>
              </w:rPr>
            </w:pPr>
            <w:r>
              <w:rPr>
                <w:sz w:val="20"/>
              </w:rPr>
              <w:t>5 years</w:t>
            </w:r>
          </w:p>
        </w:tc>
      </w:tr>
      <w:bookmarkEnd w:id="9"/>
    </w:tbl>
    <w:p w14:paraId="05EDC2B9" w14:textId="7492D68D" w:rsidR="00A14AD4" w:rsidRPr="00D77887" w:rsidRDefault="00A14AD4" w:rsidP="00B372E0">
      <w:pPr>
        <w:spacing w:after="160" w:line="259" w:lineRule="auto"/>
        <w:ind w:left="0" w:firstLine="0"/>
      </w:pPr>
    </w:p>
    <w:sectPr w:rsidR="00A14AD4" w:rsidRPr="00D77887" w:rsidSect="00B372E0">
      <w:headerReference w:type="even" r:id="rId9"/>
      <w:footerReference w:type="even" r:id="rId10"/>
      <w:footerReference w:type="default" r:id="rId11"/>
      <w:headerReference w:type="first" r:id="rId12"/>
      <w:footerReference w:type="first" r:id="rId13"/>
      <w:footnotePr>
        <w:numRestart w:val="eachPage"/>
      </w:footnotePr>
      <w:pgSz w:w="15840" w:h="12240" w:orient="landscape"/>
      <w:pgMar w:top="1586" w:right="1401" w:bottom="1586" w:left="1031" w:header="630" w:footer="43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C7582" w14:textId="77777777" w:rsidR="00FB7C7E" w:rsidRDefault="008B7FF6" w:rsidP="00D77887">
      <w:r>
        <w:separator/>
      </w:r>
    </w:p>
  </w:endnote>
  <w:endnote w:type="continuationSeparator" w:id="0">
    <w:p w14:paraId="44AED380" w14:textId="77777777" w:rsidR="00FB7C7E" w:rsidRDefault="008B7FF6" w:rsidP="00D7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476A" w14:textId="77777777" w:rsidR="00A14AD4" w:rsidRDefault="008B7FF6" w:rsidP="00D77887">
    <w:r>
      <w:fldChar w:fldCharType="begin"/>
    </w:r>
    <w:r>
      <w:instrText xml:space="preserve"> PAGE   \* MERGEFORMAT </w:instrText>
    </w:r>
    <w:r>
      <w:fldChar w:fldCharType="separate"/>
    </w:r>
    <w:r>
      <w:rPr>
        <w:rFonts w:ascii="Arial" w:hAnsi="Arial" w:cs="Arial"/>
        <w:b/>
      </w:rPr>
      <w:t>2</w:t>
    </w:r>
    <w:r>
      <w:rPr>
        <w:b/>
      </w:rPr>
      <w:fldChar w:fldCharType="end"/>
    </w:r>
    <w:r>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029243"/>
      <w:docPartObj>
        <w:docPartGallery w:val="Page Numbers (Bottom of Page)"/>
        <w:docPartUnique/>
      </w:docPartObj>
    </w:sdtPr>
    <w:sdtContent>
      <w:p w14:paraId="119CD910" w14:textId="32F631F4" w:rsidR="00B372E0" w:rsidRDefault="00B372E0">
        <w:pPr>
          <w:pStyle w:val="Footer"/>
          <w:jc w:val="right"/>
        </w:pPr>
        <w:r w:rsidRPr="00B372E0">
          <w:rPr>
            <w:sz w:val="18"/>
            <w:szCs w:val="18"/>
          </w:rPr>
          <w:t xml:space="preserve">Page | </w:t>
        </w:r>
        <w:r w:rsidRPr="00B372E0">
          <w:rPr>
            <w:sz w:val="18"/>
            <w:szCs w:val="18"/>
          </w:rPr>
          <w:fldChar w:fldCharType="begin"/>
        </w:r>
        <w:r w:rsidRPr="00B372E0">
          <w:rPr>
            <w:sz w:val="18"/>
            <w:szCs w:val="18"/>
          </w:rPr>
          <w:instrText xml:space="preserve"> PAGE   \* MERGEFORMAT </w:instrText>
        </w:r>
        <w:r w:rsidRPr="00B372E0">
          <w:rPr>
            <w:sz w:val="18"/>
            <w:szCs w:val="18"/>
          </w:rPr>
          <w:fldChar w:fldCharType="separate"/>
        </w:r>
        <w:r w:rsidRPr="00B372E0">
          <w:rPr>
            <w:noProof/>
            <w:sz w:val="18"/>
            <w:szCs w:val="18"/>
          </w:rPr>
          <w:t>2</w:t>
        </w:r>
        <w:r w:rsidRPr="00B372E0">
          <w:rPr>
            <w:noProof/>
            <w:sz w:val="18"/>
            <w:szCs w:val="18"/>
          </w:rPr>
          <w:fldChar w:fldCharType="end"/>
        </w:r>
        <w:r>
          <w:t xml:space="preserve"> </w:t>
        </w:r>
      </w:p>
    </w:sdtContent>
  </w:sdt>
  <w:p w14:paraId="3991F0BC" w14:textId="04E2402B" w:rsidR="00A14AD4" w:rsidRPr="00B372E0" w:rsidRDefault="00A14AD4" w:rsidP="00B37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78DF" w14:textId="77777777" w:rsidR="00A14AD4" w:rsidRDefault="008B7FF6" w:rsidP="00D77887">
    <w:r>
      <w:fldChar w:fldCharType="begin"/>
    </w:r>
    <w:r>
      <w:instrText xml:space="preserve"> PAGE   \* MERGEFORMAT </w:instrText>
    </w:r>
    <w:r>
      <w:fldChar w:fldCharType="separate"/>
    </w:r>
    <w:r>
      <w:rPr>
        <w:rFonts w:ascii="Arial" w:hAnsi="Arial" w:cs="Arial"/>
        <w:b/>
      </w:rPr>
      <w:t>3</w:t>
    </w:r>
    <w:r>
      <w:rPr>
        <w:b/>
      </w:rPr>
      <w:fldChar w:fldCharType="end"/>
    </w:r>
    <w:r>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C3CF2" w14:textId="77777777" w:rsidR="00A14AD4" w:rsidRDefault="008B7FF6" w:rsidP="00D77887">
      <w:r>
        <w:separator/>
      </w:r>
    </w:p>
  </w:footnote>
  <w:footnote w:type="continuationSeparator" w:id="0">
    <w:p w14:paraId="266B4AE1" w14:textId="77777777" w:rsidR="00A14AD4" w:rsidRDefault="008B7FF6" w:rsidP="00D7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66A7" w14:textId="3AFAE3DB" w:rsidR="00B372E0" w:rsidRDefault="00B372E0">
    <w:pPr>
      <w:pStyle w:val="Header"/>
    </w:pPr>
    <w:r>
      <w:rPr>
        <w:noProof/>
      </w:rPr>
      <mc:AlternateContent>
        <mc:Choice Requires="wps">
          <w:drawing>
            <wp:anchor distT="45720" distB="45720" distL="114300" distR="114300" simplePos="0" relativeHeight="251660800" behindDoc="0" locked="0" layoutInCell="1" allowOverlap="1" wp14:anchorId="4604113D" wp14:editId="6A05AC30">
              <wp:simplePos x="0" y="0"/>
              <wp:positionH relativeFrom="column">
                <wp:posOffset>3914775</wp:posOffset>
              </wp:positionH>
              <wp:positionV relativeFrom="paragraph">
                <wp:posOffset>-154305</wp:posOffset>
              </wp:positionV>
              <wp:extent cx="2360930" cy="14046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DF3BCB" w14:textId="6FD796BD" w:rsidR="00B372E0" w:rsidRDefault="006D100C" w:rsidP="00B372E0">
                          <w:r>
                            <w:rPr>
                              <w:noProof/>
                            </w:rPr>
                            <w:drawing>
                              <wp:inline distT="0" distB="0" distL="0" distR="0" wp14:anchorId="2C73C9A2" wp14:editId="01E2AB70">
                                <wp:extent cx="2108200" cy="1210973"/>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8200" cy="121097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04113D" id="_x0000_t202" coordsize="21600,21600" o:spt="202" path="m,l,21600r21600,l21600,xe">
              <v:stroke joinstyle="miter"/>
              <v:path gradientshapeok="t" o:connecttype="rect"/>
            </v:shapetype>
            <v:shape id="Text Box 2" o:spid="_x0000_s1026" type="#_x0000_t202" style="position:absolute;left:0;text-align:left;margin-left:308.25pt;margin-top:-12.15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" stroked="f">
              <v:textbox style="mso-fit-shape-to-text:t">
                <w:txbxContent>
                  <w:p w14:paraId="16DF3BCB" w14:textId="6FD796BD" w:rsidR="00B372E0" w:rsidRDefault="006D100C" w:rsidP="00B372E0">
                    <w:r>
                      <w:rPr>
                        <w:noProof/>
                      </w:rPr>
                      <w:drawing>
                        <wp:inline distT="0" distB="0" distL="0" distR="0" wp14:anchorId="2C73C9A2" wp14:editId="01E2AB70">
                          <wp:extent cx="2108200" cy="1210973"/>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8200" cy="1210973"/>
                                  </a:xfrm>
                                  <a:prstGeom prst="rect">
                                    <a:avLst/>
                                  </a:prstGeom>
                                  <a:noFill/>
                                  <a:ln w="9525">
                                    <a:noFill/>
                                    <a:miter lim="800000"/>
                                    <a:headEnd/>
                                    <a:tailEnd/>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7935" w14:textId="77777777" w:rsidR="00A14AD4" w:rsidRDefault="008B7FF6" w:rsidP="00D77887">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6E13" w14:textId="77777777" w:rsidR="00A14AD4" w:rsidRDefault="008B7FF6" w:rsidP="00D77887">
    <w:r>
      <w:t xml:space="preserve">CWA 15292:2005 (E) </w:t>
    </w:r>
  </w:p>
  <w:p w14:paraId="1FA58E25" w14:textId="77777777" w:rsidR="00A14AD4" w:rsidRDefault="008B7FF6" w:rsidP="00D77887">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E09"/>
    <w:multiLevelType w:val="hybridMultilevel"/>
    <w:tmpl w:val="F22C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13B"/>
    <w:multiLevelType w:val="hybridMultilevel"/>
    <w:tmpl w:val="B65A4B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F0DBB"/>
    <w:multiLevelType w:val="multilevel"/>
    <w:tmpl w:val="6D64F138"/>
    <w:lvl w:ilvl="0">
      <w:start w:val="1"/>
      <w:numFmt w:val="bullet"/>
      <w:pStyle w:val="Style2"/>
      <w:lvlText w:val=""/>
      <w:lvlJc w:val="left"/>
      <w:pPr>
        <w:ind w:left="1440" w:hanging="720"/>
      </w:pPr>
      <w:rPr>
        <w:rFonts w:ascii="Symbol" w:hAnsi="Symbol" w:hint="default"/>
      </w:rPr>
    </w:lvl>
    <w:lvl w:ilvl="1">
      <w:start w:val="1"/>
      <w:numFmt w:val="decima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3" w15:restartNumberingAfterBreak="0">
    <w:nsid w:val="16BE395D"/>
    <w:multiLevelType w:val="hybridMultilevel"/>
    <w:tmpl w:val="B1D238AC"/>
    <w:lvl w:ilvl="0" w:tplc="8056E99C">
      <w:start w:val="1"/>
      <w:numFmt w:val="upperLetter"/>
      <w:lvlText w:val="(%1)"/>
      <w:lvlJc w:val="left"/>
      <w:pPr>
        <w:ind w:left="6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D9240D8">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D70D00C">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19063958">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559CC9C2">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C1765B0A">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2820C76E">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BFC4748">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A10EB6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C1C1504"/>
    <w:multiLevelType w:val="multilevel"/>
    <w:tmpl w:val="E056E9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D77712"/>
    <w:multiLevelType w:val="multilevel"/>
    <w:tmpl w:val="01C660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3C3360"/>
    <w:multiLevelType w:val="multilevel"/>
    <w:tmpl w:val="FAF66F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2B08C2"/>
    <w:multiLevelType w:val="hybridMultilevel"/>
    <w:tmpl w:val="68DADE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41C73"/>
    <w:multiLevelType w:val="multilevel"/>
    <w:tmpl w:val="CD1659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5610A3"/>
    <w:multiLevelType w:val="multilevel"/>
    <w:tmpl w:val="01C660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E50014"/>
    <w:multiLevelType w:val="multilevel"/>
    <w:tmpl w:val="FAF66F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A574D"/>
    <w:multiLevelType w:val="multilevel"/>
    <w:tmpl w:val="01C660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983A11"/>
    <w:multiLevelType w:val="multilevel"/>
    <w:tmpl w:val="7DCC71EC"/>
    <w:lvl w:ilvl="0">
      <w:start w:val="1"/>
      <w:numFmt w:val="decimal"/>
      <w:lvlText w:val="%1."/>
      <w:lvlJc w:val="left"/>
      <w:pPr>
        <w:tabs>
          <w:tab w:val="num" w:pos="709"/>
        </w:tabs>
        <w:ind w:left="709" w:hanging="709"/>
      </w:pPr>
      <w:rPr>
        <w:rFonts w:asciiTheme="minorHAnsi" w:hAnsiTheme="minorHAnsi" w:cstheme="minorHAnsi"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Theme="minorHAnsi" w:hAnsiTheme="minorHAnsi" w:cstheme="minorHAnsi"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BA1FA6"/>
    <w:multiLevelType w:val="hybridMultilevel"/>
    <w:tmpl w:val="BB2883B2"/>
    <w:lvl w:ilvl="0" w:tplc="DF1E476A">
      <w:start w:val="1"/>
      <w:numFmt w:val="bullet"/>
      <w:lvlText w:val="•"/>
      <w:lvlJc w:val="left"/>
      <w:pPr>
        <w:ind w:left="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DC236D6">
      <w:start w:val="1"/>
      <w:numFmt w:val="bullet"/>
      <w:lvlText w:val="o"/>
      <w:lvlJc w:val="left"/>
      <w:pPr>
        <w:ind w:left="1376"/>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193EE026">
      <w:start w:val="1"/>
      <w:numFmt w:val="bullet"/>
      <w:lvlRestart w:val="0"/>
      <w:lvlText w:val="o"/>
      <w:lvlJc w:val="left"/>
      <w:pPr>
        <w:ind w:left="27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B07AD738">
      <w:start w:val="1"/>
      <w:numFmt w:val="bullet"/>
      <w:lvlText w:val="•"/>
      <w:lvlJc w:val="left"/>
      <w:pPr>
        <w:ind w:left="311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19D0B82A">
      <w:start w:val="1"/>
      <w:numFmt w:val="bullet"/>
      <w:lvlText w:val="o"/>
      <w:lvlJc w:val="left"/>
      <w:pPr>
        <w:ind w:left="383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9EA46DC8">
      <w:start w:val="1"/>
      <w:numFmt w:val="bullet"/>
      <w:lvlText w:val="▪"/>
      <w:lvlJc w:val="left"/>
      <w:pPr>
        <w:ind w:left="455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24EA9AD0">
      <w:start w:val="1"/>
      <w:numFmt w:val="bullet"/>
      <w:lvlText w:val="•"/>
      <w:lvlJc w:val="left"/>
      <w:pPr>
        <w:ind w:left="527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B65C9A52">
      <w:start w:val="1"/>
      <w:numFmt w:val="bullet"/>
      <w:lvlText w:val="o"/>
      <w:lvlJc w:val="left"/>
      <w:pPr>
        <w:ind w:left="599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B95A6AAC">
      <w:start w:val="1"/>
      <w:numFmt w:val="bullet"/>
      <w:lvlText w:val="▪"/>
      <w:lvlJc w:val="left"/>
      <w:pPr>
        <w:ind w:left="671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05F2D1B"/>
    <w:multiLevelType w:val="multilevel"/>
    <w:tmpl w:val="E056E9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2F59B7"/>
    <w:multiLevelType w:val="multilevel"/>
    <w:tmpl w:val="DC8C7EDE"/>
    <w:lvl w:ilvl="0">
      <w:start w:val="2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13671D9"/>
    <w:multiLevelType w:val="hybridMultilevel"/>
    <w:tmpl w:val="6E6C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B16BC"/>
    <w:multiLevelType w:val="multilevel"/>
    <w:tmpl w:val="E056E9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255578"/>
    <w:multiLevelType w:val="hybridMultilevel"/>
    <w:tmpl w:val="607CFB96"/>
    <w:lvl w:ilvl="0" w:tplc="3488B374">
      <w:start w:val="1"/>
      <w:numFmt w:val="bullet"/>
      <w:lvlText w:val="-"/>
      <w:lvlJc w:val="left"/>
      <w:pPr>
        <w:ind w:left="6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58AFECE">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CB22F74">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C1E1922">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04E4166">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64C74EC">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272E0B6">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04A8F5A">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EB8F2F2">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4811995"/>
    <w:multiLevelType w:val="multilevel"/>
    <w:tmpl w:val="867CA39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EA67BF"/>
    <w:multiLevelType w:val="hybridMultilevel"/>
    <w:tmpl w:val="C684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A03B6"/>
    <w:multiLevelType w:val="hybridMultilevel"/>
    <w:tmpl w:val="0096B9DC"/>
    <w:lvl w:ilvl="0" w:tplc="AC9AF9FE">
      <w:start w:val="1"/>
      <w:numFmt w:val="bullet"/>
      <w:lvlText w:val="•"/>
      <w:lvlJc w:val="left"/>
      <w:pPr>
        <w:ind w:left="13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ABCC80E">
      <w:start w:val="1"/>
      <w:numFmt w:val="bullet"/>
      <w:lvlText w:val="o"/>
      <w:lvlJc w:val="left"/>
      <w:pPr>
        <w:ind w:left="17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1DA5A86">
      <w:start w:val="1"/>
      <w:numFmt w:val="bullet"/>
      <w:lvlText w:val="▪"/>
      <w:lvlJc w:val="left"/>
      <w:pPr>
        <w:ind w:left="24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5B800FE">
      <w:start w:val="1"/>
      <w:numFmt w:val="bullet"/>
      <w:lvlText w:val="•"/>
      <w:lvlJc w:val="left"/>
      <w:pPr>
        <w:ind w:left="31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708611A">
      <w:start w:val="1"/>
      <w:numFmt w:val="bullet"/>
      <w:lvlText w:val="o"/>
      <w:lvlJc w:val="left"/>
      <w:pPr>
        <w:ind w:left="39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7926780">
      <w:start w:val="1"/>
      <w:numFmt w:val="bullet"/>
      <w:lvlText w:val="▪"/>
      <w:lvlJc w:val="left"/>
      <w:pPr>
        <w:ind w:left="46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A402A8A">
      <w:start w:val="1"/>
      <w:numFmt w:val="bullet"/>
      <w:lvlText w:val="•"/>
      <w:lvlJc w:val="left"/>
      <w:pPr>
        <w:ind w:left="53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E52A98A">
      <w:start w:val="1"/>
      <w:numFmt w:val="bullet"/>
      <w:lvlText w:val="o"/>
      <w:lvlJc w:val="left"/>
      <w:pPr>
        <w:ind w:left="60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AF6462C">
      <w:start w:val="1"/>
      <w:numFmt w:val="bullet"/>
      <w:lvlText w:val="▪"/>
      <w:lvlJc w:val="left"/>
      <w:pPr>
        <w:ind w:left="67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2C43501"/>
    <w:multiLevelType w:val="hybridMultilevel"/>
    <w:tmpl w:val="32041E1E"/>
    <w:lvl w:ilvl="0" w:tplc="B86823DC">
      <w:start w:val="1"/>
      <w:numFmt w:val="bullet"/>
      <w:lvlText w:val="-"/>
      <w:lvlJc w:val="left"/>
      <w:pPr>
        <w:ind w:left="6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21AB476">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EAC48C6">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534F2CE">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50A5B18">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E580062">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77053D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C7A14CC">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7185DEC">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65774F3C"/>
    <w:multiLevelType w:val="hybridMultilevel"/>
    <w:tmpl w:val="06B84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82899"/>
    <w:multiLevelType w:val="hybridMultilevel"/>
    <w:tmpl w:val="44D4D92A"/>
    <w:lvl w:ilvl="0" w:tplc="CE204032">
      <w:start w:val="1"/>
      <w:numFmt w:val="decimal"/>
      <w:lvlText w:val="(%1)"/>
      <w:lvlJc w:val="left"/>
      <w:pPr>
        <w:ind w:left="6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AEA81A8">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7846A534">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62A01EFC">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1206EBD0">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1D2C8AC0">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6F9AD7DE">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EA1A8C84">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0A48F18">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6E5C0D62"/>
    <w:multiLevelType w:val="hybridMultilevel"/>
    <w:tmpl w:val="1CD2128E"/>
    <w:lvl w:ilvl="0" w:tplc="51348CF6">
      <w:start w:val="1"/>
      <w:numFmt w:val="bullet"/>
      <w:lvlText w:val="-"/>
      <w:lvlJc w:val="left"/>
      <w:pPr>
        <w:ind w:left="67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1" w:tplc="400A0F0C">
      <w:start w:val="1"/>
      <w:numFmt w:val="bullet"/>
      <w:lvlText w:val="o"/>
      <w:lvlJc w:val="left"/>
      <w:pPr>
        <w:ind w:left="108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2" w:tplc="90989290">
      <w:start w:val="1"/>
      <w:numFmt w:val="bullet"/>
      <w:lvlText w:val="▪"/>
      <w:lvlJc w:val="left"/>
      <w:pPr>
        <w:ind w:left="180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3" w:tplc="1B420796">
      <w:start w:val="1"/>
      <w:numFmt w:val="bullet"/>
      <w:lvlText w:val="•"/>
      <w:lvlJc w:val="left"/>
      <w:pPr>
        <w:ind w:left="252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4" w:tplc="69B262FA">
      <w:start w:val="1"/>
      <w:numFmt w:val="bullet"/>
      <w:lvlText w:val="o"/>
      <w:lvlJc w:val="left"/>
      <w:pPr>
        <w:ind w:left="324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5" w:tplc="A3F2F60C">
      <w:start w:val="1"/>
      <w:numFmt w:val="bullet"/>
      <w:lvlText w:val="▪"/>
      <w:lvlJc w:val="left"/>
      <w:pPr>
        <w:ind w:left="396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6" w:tplc="B76E7118">
      <w:start w:val="1"/>
      <w:numFmt w:val="bullet"/>
      <w:lvlText w:val="•"/>
      <w:lvlJc w:val="left"/>
      <w:pPr>
        <w:ind w:left="468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7" w:tplc="063C83C4">
      <w:start w:val="1"/>
      <w:numFmt w:val="bullet"/>
      <w:lvlText w:val="o"/>
      <w:lvlJc w:val="left"/>
      <w:pPr>
        <w:ind w:left="540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8" w:tplc="697ACD62">
      <w:start w:val="1"/>
      <w:numFmt w:val="bullet"/>
      <w:lvlText w:val="▪"/>
      <w:lvlJc w:val="left"/>
      <w:pPr>
        <w:ind w:left="612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740649C2"/>
    <w:multiLevelType w:val="multilevel"/>
    <w:tmpl w:val="A7F05138"/>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6667184"/>
    <w:multiLevelType w:val="multilevel"/>
    <w:tmpl w:val="01C660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E5A0BFA"/>
    <w:multiLevelType w:val="multilevel"/>
    <w:tmpl w:val="FAF66F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3"/>
  </w:num>
  <w:num w:numId="3">
    <w:abstractNumId w:val="25"/>
  </w:num>
  <w:num w:numId="4">
    <w:abstractNumId w:val="22"/>
  </w:num>
  <w:num w:numId="5">
    <w:abstractNumId w:val="18"/>
  </w:num>
  <w:num w:numId="6">
    <w:abstractNumId w:val="21"/>
  </w:num>
  <w:num w:numId="7">
    <w:abstractNumId w:val="13"/>
  </w:num>
  <w:num w:numId="8">
    <w:abstractNumId w:val="7"/>
  </w:num>
  <w:num w:numId="9">
    <w:abstractNumId w:val="1"/>
  </w:num>
  <w:num w:numId="10">
    <w:abstractNumId w:val="23"/>
  </w:num>
  <w:num w:numId="11">
    <w:abstractNumId w:val="4"/>
  </w:num>
  <w:num w:numId="12">
    <w:abstractNumId w:val="16"/>
  </w:num>
  <w:num w:numId="13">
    <w:abstractNumId w:val="0"/>
  </w:num>
  <w:num w:numId="14">
    <w:abstractNumId w:val="17"/>
  </w:num>
  <w:num w:numId="15">
    <w:abstractNumId w:val="20"/>
  </w:num>
  <w:num w:numId="16">
    <w:abstractNumId w:val="14"/>
  </w:num>
  <w:num w:numId="17">
    <w:abstractNumId w:val="9"/>
  </w:num>
  <w:num w:numId="18">
    <w:abstractNumId w:val="5"/>
  </w:num>
  <w:num w:numId="19">
    <w:abstractNumId w:val="26"/>
  </w:num>
  <w:num w:numId="20">
    <w:abstractNumId w:val="2"/>
  </w:num>
  <w:num w:numId="21">
    <w:abstractNumId w:val="11"/>
  </w:num>
  <w:num w:numId="22">
    <w:abstractNumId w:val="27"/>
  </w:num>
  <w:num w:numId="23">
    <w:abstractNumId w:val="19"/>
  </w:num>
  <w:num w:numId="24">
    <w:abstractNumId w:val="8"/>
  </w:num>
  <w:num w:numId="25">
    <w:abstractNumId w:val="15"/>
  </w:num>
  <w:num w:numId="26">
    <w:abstractNumId w:val="28"/>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D4"/>
    <w:rsid w:val="00054C0E"/>
    <w:rsid w:val="00083940"/>
    <w:rsid w:val="00084D93"/>
    <w:rsid w:val="000B6F53"/>
    <w:rsid w:val="001718D2"/>
    <w:rsid w:val="00253CAE"/>
    <w:rsid w:val="00351E93"/>
    <w:rsid w:val="003C1F20"/>
    <w:rsid w:val="003D418E"/>
    <w:rsid w:val="003D5FAC"/>
    <w:rsid w:val="0040575A"/>
    <w:rsid w:val="00431740"/>
    <w:rsid w:val="004A0656"/>
    <w:rsid w:val="004E3B99"/>
    <w:rsid w:val="0053069F"/>
    <w:rsid w:val="0055557B"/>
    <w:rsid w:val="00555CF0"/>
    <w:rsid w:val="0060436B"/>
    <w:rsid w:val="00685CAD"/>
    <w:rsid w:val="006B6062"/>
    <w:rsid w:val="006D100C"/>
    <w:rsid w:val="00721DB2"/>
    <w:rsid w:val="00740976"/>
    <w:rsid w:val="00744134"/>
    <w:rsid w:val="007954BE"/>
    <w:rsid w:val="007C035E"/>
    <w:rsid w:val="007C4FCA"/>
    <w:rsid w:val="007D2CD6"/>
    <w:rsid w:val="00892DA6"/>
    <w:rsid w:val="008A1881"/>
    <w:rsid w:val="008B0438"/>
    <w:rsid w:val="008B7FF6"/>
    <w:rsid w:val="008D2BED"/>
    <w:rsid w:val="008F0751"/>
    <w:rsid w:val="008F51E1"/>
    <w:rsid w:val="0090542E"/>
    <w:rsid w:val="00925D99"/>
    <w:rsid w:val="00985F98"/>
    <w:rsid w:val="00995EB7"/>
    <w:rsid w:val="009A64DB"/>
    <w:rsid w:val="009B1787"/>
    <w:rsid w:val="009F5055"/>
    <w:rsid w:val="00A14AD4"/>
    <w:rsid w:val="00A22E04"/>
    <w:rsid w:val="00A444F7"/>
    <w:rsid w:val="00AA3720"/>
    <w:rsid w:val="00AA3D75"/>
    <w:rsid w:val="00AC0D0E"/>
    <w:rsid w:val="00AD48E3"/>
    <w:rsid w:val="00AE0C82"/>
    <w:rsid w:val="00B3376B"/>
    <w:rsid w:val="00B372E0"/>
    <w:rsid w:val="00B87BF0"/>
    <w:rsid w:val="00B94521"/>
    <w:rsid w:val="00BB58D3"/>
    <w:rsid w:val="00C05E81"/>
    <w:rsid w:val="00C51440"/>
    <w:rsid w:val="00C9204E"/>
    <w:rsid w:val="00CD1727"/>
    <w:rsid w:val="00CD4A39"/>
    <w:rsid w:val="00D21A72"/>
    <w:rsid w:val="00D33B1F"/>
    <w:rsid w:val="00D77887"/>
    <w:rsid w:val="00D944B6"/>
    <w:rsid w:val="00DB1AB3"/>
    <w:rsid w:val="00DF4F2D"/>
    <w:rsid w:val="00DF7D28"/>
    <w:rsid w:val="00E1303E"/>
    <w:rsid w:val="00E70305"/>
    <w:rsid w:val="00EA34CF"/>
    <w:rsid w:val="00EC6E4B"/>
    <w:rsid w:val="00ED2CE9"/>
    <w:rsid w:val="00EE3195"/>
    <w:rsid w:val="00F0745B"/>
    <w:rsid w:val="00F14227"/>
    <w:rsid w:val="00FA786C"/>
    <w:rsid w:val="00FB7C7E"/>
    <w:rsid w:val="00FD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63F7A6"/>
  <w15:docId w15:val="{D3E7DF4F-95F2-472A-B36E-4AC6D4D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F98"/>
    <w:pPr>
      <w:spacing w:after="162" w:line="249" w:lineRule="auto"/>
      <w:ind w:left="10" w:hanging="10"/>
    </w:pPr>
    <w:rPr>
      <w:rFonts w:eastAsia="Arial" w:cstheme="minorHAnsi"/>
      <w:color w:val="000000"/>
    </w:rPr>
  </w:style>
  <w:style w:type="paragraph" w:styleId="Heading1">
    <w:name w:val="heading 1"/>
    <w:next w:val="Normal"/>
    <w:link w:val="Heading1Char"/>
    <w:uiPriority w:val="9"/>
    <w:unhideWhenUsed/>
    <w:qFormat/>
    <w:rsid w:val="006B6062"/>
    <w:pPr>
      <w:keepNext/>
      <w:keepLines/>
      <w:spacing w:after="158" w:line="251" w:lineRule="auto"/>
      <w:ind w:left="-5" w:hanging="10"/>
      <w:outlineLvl w:val="0"/>
    </w:pPr>
    <w:rPr>
      <w:rFonts w:eastAsia="Arial" w:cstheme="minorHAnsi"/>
      <w:b/>
      <w:color w:val="000000"/>
      <w:sz w:val="24"/>
    </w:rPr>
  </w:style>
  <w:style w:type="paragraph" w:styleId="Heading2">
    <w:name w:val="heading 2"/>
    <w:next w:val="Normal"/>
    <w:link w:val="Heading2Char"/>
    <w:uiPriority w:val="9"/>
    <w:unhideWhenUsed/>
    <w:qFormat/>
    <w:pPr>
      <w:keepNext/>
      <w:keepLines/>
      <w:spacing w:after="4"/>
      <w:ind w:left="10" w:hanging="10"/>
      <w:outlineLvl w:val="1"/>
    </w:pPr>
    <w:rPr>
      <w:rFonts w:ascii="Arial" w:eastAsia="Arial" w:hAnsi="Arial" w:cs="Arial"/>
      <w:b/>
      <w:color w:val="000000"/>
      <w:sz w:val="34"/>
    </w:rPr>
  </w:style>
  <w:style w:type="paragraph" w:styleId="Heading3">
    <w:name w:val="heading 3"/>
    <w:next w:val="Normal"/>
    <w:link w:val="Heading3Char"/>
    <w:uiPriority w:val="9"/>
    <w:unhideWhenUsed/>
    <w:qFormat/>
    <w:pPr>
      <w:keepNext/>
      <w:keepLines/>
      <w:spacing w:after="4"/>
      <w:ind w:left="10" w:hanging="10"/>
      <w:outlineLvl w:val="2"/>
    </w:pPr>
    <w:rPr>
      <w:rFonts w:ascii="Arial" w:eastAsia="Arial" w:hAnsi="Arial" w:cs="Arial"/>
      <w:b/>
      <w:color w:val="000000"/>
      <w:sz w:val="34"/>
    </w:rPr>
  </w:style>
  <w:style w:type="paragraph" w:styleId="Heading4">
    <w:name w:val="heading 4"/>
    <w:next w:val="Normal"/>
    <w:link w:val="Heading4Char"/>
    <w:uiPriority w:val="9"/>
    <w:unhideWhenUsed/>
    <w:qFormat/>
    <w:pPr>
      <w:keepNext/>
      <w:keepLines/>
      <w:spacing w:after="12" w:line="250" w:lineRule="auto"/>
      <w:ind w:left="10" w:hanging="10"/>
      <w:outlineLvl w:val="3"/>
    </w:pPr>
    <w:rPr>
      <w:rFonts w:ascii="Arial" w:eastAsia="Arial" w:hAnsi="Arial" w:cs="Arial"/>
      <w:color w:val="000000"/>
      <w:sz w:val="34"/>
    </w:rPr>
  </w:style>
  <w:style w:type="paragraph" w:styleId="Heading5">
    <w:name w:val="heading 5"/>
    <w:next w:val="Normal"/>
    <w:link w:val="Heading5Char"/>
    <w:uiPriority w:val="9"/>
    <w:unhideWhenUsed/>
    <w:qFormat/>
    <w:pPr>
      <w:keepNext/>
      <w:keepLines/>
      <w:spacing w:after="158" w:line="251" w:lineRule="auto"/>
      <w:ind w:left="10" w:hanging="10"/>
      <w:outlineLvl w:val="4"/>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34"/>
    </w:rPr>
  </w:style>
  <w:style w:type="paragraph" w:customStyle="1" w:styleId="footnotedescription">
    <w:name w:val="footnote description"/>
    <w:next w:val="Normal"/>
    <w:link w:val="footnotedescriptionChar"/>
    <w:hidden/>
    <w:pPr>
      <w:spacing w:after="0" w:line="246" w:lineRule="auto"/>
      <w:ind w:left="427" w:hanging="427"/>
    </w:pPr>
    <w:rPr>
      <w:rFonts w:ascii="Arial" w:eastAsia="Arial" w:hAnsi="Arial" w:cs="Arial"/>
      <w:color w:val="000000"/>
      <w:sz w:val="15"/>
    </w:rPr>
  </w:style>
  <w:style w:type="character" w:customStyle="1" w:styleId="footnotedescriptionChar">
    <w:name w:val="footnote description Char"/>
    <w:link w:val="footnotedescription"/>
    <w:rPr>
      <w:rFonts w:ascii="Arial" w:eastAsia="Arial" w:hAnsi="Arial" w:cs="Arial"/>
      <w:color w:val="000000"/>
      <w:sz w:val="15"/>
    </w:rPr>
  </w:style>
  <w:style w:type="character" w:customStyle="1" w:styleId="Heading5Char">
    <w:name w:val="Heading 5 Char"/>
    <w:link w:val="Heading5"/>
    <w:rPr>
      <w:rFonts w:ascii="Arial" w:eastAsia="Arial" w:hAnsi="Arial" w:cs="Arial"/>
      <w:b/>
      <w:color w:val="000000"/>
      <w:sz w:val="19"/>
    </w:rPr>
  </w:style>
  <w:style w:type="character" w:customStyle="1" w:styleId="Heading4Char">
    <w:name w:val="Heading 4 Char"/>
    <w:link w:val="Heading4"/>
    <w:rPr>
      <w:rFonts w:ascii="Arial" w:eastAsia="Arial" w:hAnsi="Arial" w:cs="Arial"/>
      <w:color w:val="000000"/>
      <w:sz w:val="34"/>
    </w:rPr>
  </w:style>
  <w:style w:type="character" w:customStyle="1" w:styleId="Heading1Char">
    <w:name w:val="Heading 1 Char"/>
    <w:link w:val="Heading1"/>
    <w:uiPriority w:val="9"/>
    <w:rsid w:val="006B6062"/>
    <w:rPr>
      <w:rFonts w:eastAsia="Arial" w:cstheme="minorHAnsi"/>
      <w:b/>
      <w:color w:val="000000"/>
      <w:sz w:val="24"/>
    </w:rPr>
  </w:style>
  <w:style w:type="character" w:customStyle="1" w:styleId="Heading2Char">
    <w:name w:val="Heading 2 Char"/>
    <w:link w:val="Heading2"/>
    <w:rPr>
      <w:rFonts w:ascii="Arial" w:eastAsia="Arial" w:hAnsi="Arial" w:cs="Arial"/>
      <w:b/>
      <w:color w:val="000000"/>
      <w:sz w:val="34"/>
    </w:rPr>
  </w:style>
  <w:style w:type="paragraph" w:styleId="TOC1">
    <w:name w:val="toc 1"/>
    <w:hidden/>
    <w:pPr>
      <w:spacing w:after="5" w:line="249" w:lineRule="auto"/>
      <w:ind w:left="25" w:right="17" w:hanging="10"/>
    </w:pPr>
    <w:rPr>
      <w:rFonts w:ascii="Arial" w:eastAsia="Arial" w:hAnsi="Arial" w:cs="Arial"/>
      <w:color w:val="000000"/>
      <w:sz w:val="19"/>
    </w:rPr>
  </w:style>
  <w:style w:type="paragraph" w:styleId="TOC2">
    <w:name w:val="toc 2"/>
    <w:hidden/>
    <w:pPr>
      <w:spacing w:after="149"/>
      <w:ind w:left="25" w:right="17" w:hanging="10"/>
    </w:pPr>
    <w:rPr>
      <w:rFonts w:ascii="Arial" w:eastAsia="Arial" w:hAnsi="Arial" w:cs="Arial"/>
      <w:b/>
      <w:color w:val="000000"/>
      <w:sz w:val="21"/>
    </w:rPr>
  </w:style>
  <w:style w:type="character" w:customStyle="1" w:styleId="footnotemark">
    <w:name w:val="footnote mark"/>
    <w:hidden/>
    <w:rPr>
      <w:rFonts w:ascii="Arial" w:eastAsia="Arial" w:hAnsi="Arial" w:cs="Arial"/>
      <w:b/>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rsid w:val="00D21A72"/>
    <w:rPr>
      <w:b/>
    </w:rPr>
  </w:style>
  <w:style w:type="paragraph" w:styleId="ListParagraph">
    <w:name w:val="List Paragraph"/>
    <w:basedOn w:val="Normal"/>
    <w:link w:val="ListParagraphChar"/>
    <w:uiPriority w:val="34"/>
    <w:qFormat/>
    <w:rsid w:val="00D77887"/>
    <w:pPr>
      <w:ind w:left="720"/>
      <w:contextualSpacing/>
    </w:pPr>
  </w:style>
  <w:style w:type="paragraph" w:customStyle="1" w:styleId="Style1">
    <w:name w:val="Style1"/>
    <w:basedOn w:val="Normal"/>
    <w:link w:val="Style1Char"/>
    <w:qFormat/>
    <w:rsid w:val="006B6062"/>
    <w:pPr>
      <w:ind w:left="720" w:hanging="720"/>
    </w:pPr>
  </w:style>
  <w:style w:type="paragraph" w:styleId="NoSpacing">
    <w:name w:val="No Spacing"/>
    <w:uiPriority w:val="1"/>
    <w:qFormat/>
    <w:rsid w:val="007D2CD6"/>
    <w:pPr>
      <w:spacing w:after="0" w:line="240" w:lineRule="auto"/>
      <w:ind w:left="10" w:hanging="10"/>
    </w:pPr>
    <w:rPr>
      <w:rFonts w:eastAsia="Arial" w:cstheme="minorHAnsi"/>
      <w:color w:val="000000"/>
      <w:sz w:val="19"/>
    </w:rPr>
  </w:style>
  <w:style w:type="character" w:customStyle="1" w:styleId="Style1Char">
    <w:name w:val="Style1 Char"/>
    <w:basedOn w:val="DefaultParagraphFont"/>
    <w:link w:val="Style1"/>
    <w:rsid w:val="006B6062"/>
    <w:rPr>
      <w:rFonts w:eastAsia="Arial" w:cstheme="minorHAnsi"/>
      <w:color w:val="000000"/>
    </w:rPr>
  </w:style>
  <w:style w:type="paragraph" w:styleId="Header">
    <w:name w:val="header"/>
    <w:basedOn w:val="Normal"/>
    <w:link w:val="HeaderChar"/>
    <w:uiPriority w:val="99"/>
    <w:unhideWhenUsed/>
    <w:rsid w:val="00AA3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D75"/>
    <w:rPr>
      <w:rFonts w:eastAsia="Arial" w:cstheme="minorHAnsi"/>
      <w:color w:val="000000"/>
      <w:sz w:val="19"/>
    </w:rPr>
  </w:style>
  <w:style w:type="character" w:styleId="PageNumber">
    <w:name w:val="page number"/>
    <w:rsid w:val="003C1F20"/>
    <w:rPr>
      <w:sz w:val="20"/>
    </w:rPr>
  </w:style>
  <w:style w:type="paragraph" w:styleId="BodyText2">
    <w:name w:val="Body Text 2"/>
    <w:basedOn w:val="Normal"/>
    <w:link w:val="BodyText2Char"/>
    <w:rsid w:val="003C1F20"/>
    <w:pPr>
      <w:widowControl w:val="0"/>
      <w:tabs>
        <w:tab w:val="left" w:pos="720"/>
        <w:tab w:val="left" w:pos="1440"/>
        <w:tab w:val="left" w:pos="2160"/>
      </w:tabs>
      <w:overflowPunct w:val="0"/>
      <w:autoSpaceDE w:val="0"/>
      <w:autoSpaceDN w:val="0"/>
      <w:adjustRightInd w:val="0"/>
      <w:spacing w:after="120" w:line="240" w:lineRule="auto"/>
      <w:ind w:left="1440" w:hanging="720"/>
      <w:jc w:val="both"/>
      <w:textAlignment w:val="baseline"/>
    </w:pPr>
    <w:rPr>
      <w:rFonts w:ascii="Arial" w:eastAsia="Times New Roman" w:hAnsi="Arial" w:cs="Times New Roman"/>
      <w:color w:val="auto"/>
      <w:spacing w:val="-3"/>
      <w:szCs w:val="20"/>
      <w:lang w:eastAsia="en-US"/>
    </w:rPr>
  </w:style>
  <w:style w:type="character" w:customStyle="1" w:styleId="BodyText2Char">
    <w:name w:val="Body Text 2 Char"/>
    <w:basedOn w:val="DefaultParagraphFont"/>
    <w:link w:val="BodyText2"/>
    <w:rsid w:val="003C1F20"/>
    <w:rPr>
      <w:rFonts w:ascii="Arial" w:eastAsia="Times New Roman" w:hAnsi="Arial" w:cs="Times New Roman"/>
      <w:spacing w:val="-3"/>
      <w:szCs w:val="20"/>
      <w:lang w:eastAsia="en-US"/>
    </w:rPr>
  </w:style>
  <w:style w:type="paragraph" w:styleId="Footer">
    <w:name w:val="footer"/>
    <w:basedOn w:val="Normal"/>
    <w:link w:val="FooterChar"/>
    <w:uiPriority w:val="99"/>
    <w:unhideWhenUsed/>
    <w:rsid w:val="00DB1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AB3"/>
    <w:rPr>
      <w:rFonts w:eastAsia="Arial" w:cstheme="minorHAnsi"/>
      <w:color w:val="000000"/>
      <w:sz w:val="19"/>
    </w:rPr>
  </w:style>
  <w:style w:type="paragraph" w:customStyle="1" w:styleId="Style2">
    <w:name w:val="Style2"/>
    <w:basedOn w:val="ListParagraph"/>
    <w:link w:val="Style2Char"/>
    <w:qFormat/>
    <w:rsid w:val="00054C0E"/>
    <w:pPr>
      <w:numPr>
        <w:numId w:val="20"/>
      </w:numPr>
    </w:pPr>
  </w:style>
  <w:style w:type="paragraph" w:customStyle="1" w:styleId="Style3a">
    <w:name w:val="Style3a"/>
    <w:basedOn w:val="Style311"/>
    <w:qFormat/>
    <w:rsid w:val="00B3376B"/>
    <w:pPr>
      <w:tabs>
        <w:tab w:val="clear" w:pos="2126"/>
        <w:tab w:val="num" w:pos="360"/>
      </w:tabs>
      <w:ind w:left="3960"/>
    </w:pPr>
  </w:style>
  <w:style w:type="character" w:customStyle="1" w:styleId="ListParagraphChar">
    <w:name w:val="List Paragraph Char"/>
    <w:basedOn w:val="DefaultParagraphFont"/>
    <w:link w:val="ListParagraph"/>
    <w:uiPriority w:val="34"/>
    <w:rsid w:val="00054C0E"/>
    <w:rPr>
      <w:rFonts w:eastAsia="Arial" w:cstheme="minorHAnsi"/>
      <w:color w:val="000000"/>
    </w:rPr>
  </w:style>
  <w:style w:type="character" w:customStyle="1" w:styleId="Style2Char">
    <w:name w:val="Style2 Char"/>
    <w:basedOn w:val="ListParagraphChar"/>
    <w:link w:val="Style2"/>
    <w:rsid w:val="00054C0E"/>
    <w:rPr>
      <w:rFonts w:eastAsia="Arial" w:cstheme="minorHAnsi"/>
      <w:color w:val="000000"/>
    </w:rPr>
  </w:style>
  <w:style w:type="paragraph" w:customStyle="1" w:styleId="Style311">
    <w:name w:val="Style3.1.1"/>
    <w:basedOn w:val="Normal"/>
    <w:link w:val="Style311Char"/>
    <w:qFormat/>
    <w:rsid w:val="00B3376B"/>
    <w:pPr>
      <w:tabs>
        <w:tab w:val="num" w:pos="2126"/>
      </w:tabs>
      <w:overflowPunct w:val="0"/>
      <w:autoSpaceDE w:val="0"/>
      <w:autoSpaceDN w:val="0"/>
      <w:adjustRightInd w:val="0"/>
      <w:spacing w:after="120" w:line="240" w:lineRule="auto"/>
      <w:ind w:left="2126" w:hanging="708"/>
      <w:jc w:val="both"/>
      <w:textAlignment w:val="baseline"/>
    </w:pPr>
    <w:rPr>
      <w:rFonts w:ascii="Arial" w:eastAsia="Times New Roman" w:hAnsi="Arial" w:cs="Arial"/>
      <w:bCs/>
      <w:color w:val="auto"/>
      <w:szCs w:val="20"/>
      <w:lang w:eastAsia="en-US"/>
    </w:rPr>
  </w:style>
  <w:style w:type="paragraph" w:customStyle="1" w:styleId="Style4">
    <w:name w:val="Style4"/>
    <w:basedOn w:val="Normal"/>
    <w:qFormat/>
    <w:rsid w:val="00B3376B"/>
    <w:pPr>
      <w:widowControl w:val="0"/>
      <w:tabs>
        <w:tab w:val="num" w:pos="2835"/>
      </w:tabs>
      <w:overflowPunct w:val="0"/>
      <w:autoSpaceDE w:val="0"/>
      <w:autoSpaceDN w:val="0"/>
      <w:adjustRightInd w:val="0"/>
      <w:spacing w:after="120" w:line="240" w:lineRule="auto"/>
      <w:ind w:left="2835" w:hanging="709"/>
      <w:jc w:val="both"/>
      <w:textAlignment w:val="baseline"/>
    </w:pPr>
    <w:rPr>
      <w:rFonts w:ascii="Arial" w:eastAsia="Times New Roman" w:hAnsi="Arial" w:cs="Times New Roman"/>
      <w:color w:val="auto"/>
      <w:szCs w:val="20"/>
      <w:lang w:eastAsia="en-US"/>
    </w:rPr>
  </w:style>
  <w:style w:type="paragraph" w:customStyle="1" w:styleId="Style2a">
    <w:name w:val="Style2a"/>
    <w:basedOn w:val="Normal"/>
    <w:qFormat/>
    <w:rsid w:val="00B3376B"/>
    <w:pPr>
      <w:widowControl w:val="0"/>
      <w:tabs>
        <w:tab w:val="num" w:pos="1418"/>
      </w:tabs>
      <w:overflowPunct w:val="0"/>
      <w:autoSpaceDE w:val="0"/>
      <w:autoSpaceDN w:val="0"/>
      <w:adjustRightInd w:val="0"/>
      <w:spacing w:after="120" w:line="240" w:lineRule="auto"/>
      <w:ind w:left="1418" w:hanging="709"/>
      <w:jc w:val="both"/>
      <w:textAlignment w:val="baseline"/>
    </w:pPr>
    <w:rPr>
      <w:rFonts w:ascii="Arial" w:eastAsia="Times New Roman" w:hAnsi="Arial" w:cs="Times New Roman"/>
      <w:color w:val="auto"/>
      <w:szCs w:val="20"/>
      <w:lang w:eastAsia="en-US"/>
    </w:rPr>
  </w:style>
  <w:style w:type="paragraph" w:customStyle="1" w:styleId="Style1NB">
    <w:name w:val="Style1NB"/>
    <w:basedOn w:val="Style1"/>
    <w:qFormat/>
    <w:rsid w:val="00B3376B"/>
    <w:pPr>
      <w:keepNext/>
      <w:keepLines/>
      <w:tabs>
        <w:tab w:val="num" w:pos="709"/>
      </w:tabs>
      <w:overflowPunct w:val="0"/>
      <w:autoSpaceDE w:val="0"/>
      <w:autoSpaceDN w:val="0"/>
      <w:adjustRightInd w:val="0"/>
      <w:spacing w:before="120" w:after="120" w:line="240" w:lineRule="auto"/>
      <w:ind w:left="709" w:hanging="709"/>
      <w:jc w:val="both"/>
      <w:textAlignment w:val="baseline"/>
    </w:pPr>
    <w:rPr>
      <w:rFonts w:ascii="Arial" w:eastAsia="Times New Roman" w:hAnsi="Arial" w:cs="Times New Roman"/>
      <w:bCs/>
      <w:color w:val="auto"/>
      <w:szCs w:val="20"/>
      <w:lang w:eastAsia="en-US"/>
    </w:rPr>
  </w:style>
  <w:style w:type="paragraph" w:customStyle="1" w:styleId="Style4a">
    <w:name w:val="Style4a"/>
    <w:basedOn w:val="Style3a"/>
    <w:qFormat/>
    <w:rsid w:val="00B3376B"/>
    <w:pPr>
      <w:ind w:left="5400"/>
    </w:pPr>
  </w:style>
  <w:style w:type="character" w:customStyle="1" w:styleId="Style311Char">
    <w:name w:val="Style3.1.1 Char"/>
    <w:link w:val="Style311"/>
    <w:rsid w:val="00B3376B"/>
    <w:rPr>
      <w:rFonts w:ascii="Arial" w:eastAsia="Times New Roman" w:hAnsi="Arial" w:cs="Arial"/>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038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6AEC-DE1F-4660-8054-B167EF74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Model data processing contract</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data processing contract</dc:title>
  <dc:subject/>
  <dc:creator>European Committee for Standardization</dc:creator>
  <cp:keywords/>
  <cp:lastModifiedBy>Martin Evans</cp:lastModifiedBy>
  <cp:revision>3</cp:revision>
  <dcterms:created xsi:type="dcterms:W3CDTF">2018-05-07T14:52:00Z</dcterms:created>
  <dcterms:modified xsi:type="dcterms:W3CDTF">2018-05-07T14:54:00Z</dcterms:modified>
</cp:coreProperties>
</file>